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bookmarkStart w:id="0" w:name="OLE_LINK25"/>
      <w:bookmarkStart w:id="1" w:name="OLE_LINK24"/>
      <w:bookmarkStart w:id="2" w:name="OLE_LINK12"/>
      <w:bookmarkStart w:id="3" w:name="OLE_LINK13"/>
      <w:bookmarkStart w:id="4" w:name="OLE_LINK33"/>
      <w:bookmarkStart w:id="5" w:name="OLE_LINK34"/>
      <w:r>
        <w:rPr>
          <w:rFonts w:hint="eastAsia" w:ascii="Arial" w:hAnsi="Arial" w:eastAsia="宋体"/>
          <w:b/>
          <w:lang w:eastAsia="ja-JP"/>
        </w:rPr>
        <w:t>3GPP TSG RAN WG1 #</w:t>
      </w:r>
      <w:r>
        <w:rPr>
          <w:rFonts w:hint="eastAsia" w:ascii="Arial" w:hAnsi="Arial" w:eastAsia="宋体"/>
          <w:b/>
        </w:rPr>
        <w:t xml:space="preserve">108-e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ascii="Arial" w:hAnsi="Arial" w:eastAsia="宋体"/>
          <w:b/>
          <w:lang w:eastAsia="ja-JP"/>
        </w:rPr>
        <w:t xml:space="preserve">   </w:t>
      </w:r>
      <w:r>
        <w:rPr>
          <w:rFonts w:hint="eastAsia" w:ascii="Arial" w:hAnsi="Arial" w:eastAsia="宋体"/>
          <w:b/>
          <w:lang w:eastAsia="ja-JP"/>
        </w:rPr>
        <w:t xml:space="preserve">        </w:t>
      </w:r>
      <w:r>
        <w:rPr>
          <w:rFonts w:hint="eastAsia" w:ascii="Arial" w:hAnsi="Arial" w:eastAsia="宋体"/>
          <w:b/>
        </w:rPr>
        <w:t xml:space="preserve"> </w:t>
      </w:r>
      <w:r>
        <w:rPr>
          <w:rFonts w:hint="eastAsia" w:ascii="Arial" w:hAnsi="Arial" w:eastAsia="宋体"/>
          <w:b/>
          <w:lang w:eastAsia="ja-JP"/>
        </w:rPr>
        <w:t xml:space="preserve">            </w:t>
      </w:r>
      <w:r>
        <w:rPr>
          <w:rFonts w:hint="eastAsia" w:ascii="Arial" w:hAnsi="Arial" w:eastAsia="宋体"/>
          <w:b/>
        </w:rPr>
        <w:t xml:space="preserve">   R1-2201195 </w:t>
      </w:r>
      <w:r>
        <w:rPr>
          <w:rFonts w:hint="eastAsia" w:ascii="Arial" w:hAnsi="Arial" w:eastAsia="宋体"/>
          <w:b/>
          <w:lang w:eastAsia="ja-JP"/>
        </w:rPr>
        <w:t xml:space="preserve">                                                                     </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hint="eastAsia" w:ascii="Arial" w:hAnsi="Arial" w:cs="Arial"/>
          <w:b/>
        </w:rPr>
        <w:t>e-Meeting, February 21</w:t>
      </w:r>
      <w:r>
        <w:rPr>
          <w:rFonts w:hint="eastAsia" w:ascii="Arial" w:hAnsi="Arial" w:cs="Arial"/>
          <w:b/>
          <w:vertAlign w:val="superscript"/>
        </w:rPr>
        <w:t>st</w:t>
      </w:r>
      <w:r>
        <w:rPr>
          <w:rFonts w:hint="default" w:ascii="Arial" w:hAnsi="Arial" w:eastAsia="宋体" w:cs="Arial"/>
          <w:b/>
          <w:bCs/>
          <w:lang w:val="en-GB" w:eastAsia="en-US"/>
        </w:rPr>
        <w:t xml:space="preserve"> </w:t>
      </w:r>
      <w:r>
        <w:rPr>
          <w:rFonts w:hint="eastAsia" w:ascii="Arial" w:hAnsi="Arial" w:eastAsia="宋体" w:cs="Arial"/>
          <w:b/>
          <w:bCs/>
          <w:lang w:val="en-US" w:eastAsia="zh-CN"/>
        </w:rPr>
        <w:t xml:space="preserve">- </w:t>
      </w:r>
      <w:r>
        <w:rPr>
          <w:rFonts w:hint="eastAsia" w:ascii="Arial" w:hAnsi="Arial" w:cs="Arial"/>
          <w:b/>
        </w:rPr>
        <w:t>March 3</w:t>
      </w:r>
      <w:r>
        <w:rPr>
          <w:rFonts w:hint="eastAsia" w:ascii="Arial" w:hAnsi="Arial" w:cs="Arial"/>
          <w:b/>
          <w:vertAlign w:val="superscript"/>
        </w:rPr>
        <w:t>rd</w:t>
      </w:r>
      <w:r>
        <w:rPr>
          <w:rFonts w:hint="eastAsia" w:ascii="Arial" w:hAnsi="Arial" w:cs="Arial"/>
          <w:b/>
        </w:rPr>
        <w:t>, 2022</w:t>
      </w:r>
    </w:p>
    <w:p>
      <w:pPr>
        <w:tabs>
          <w:tab w:val="center" w:pos="4536"/>
          <w:tab w:val="right" w:pos="8280"/>
          <w:tab w:val="right" w:pos="9639"/>
        </w:tabs>
        <w:snapToGrid w:val="0"/>
        <w:spacing w:after="0" w:line="240" w:lineRule="auto"/>
        <w:ind w:left="442" w:right="2" w:hanging="442" w:hangingChars="200"/>
        <w:rPr>
          <w:rFonts w:ascii="Arial" w:hAnsi="Arial" w:eastAsia="宋体"/>
          <w:b/>
          <w:lang w:eastAsia="ja-JP"/>
        </w:rPr>
      </w:pP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Source:         ZTE</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rPr>
        <w:t xml:space="preserve">Title:            </w:t>
      </w:r>
      <w:bookmarkEnd w:id="1"/>
      <w:r>
        <w:rPr>
          <w:rFonts w:hint="eastAsia" w:ascii="Arial" w:hAnsi="Arial" w:eastAsia="宋体"/>
          <w:b/>
        </w:rPr>
        <w:t>Remaining issues on DL-AoD positioning solutions</w:t>
      </w:r>
    </w:p>
    <w:p>
      <w:pPr>
        <w:tabs>
          <w:tab w:val="center" w:pos="4536"/>
          <w:tab w:val="right" w:pos="8280"/>
          <w:tab w:val="right" w:pos="9639"/>
        </w:tabs>
        <w:snapToGrid w:val="0"/>
        <w:spacing w:after="0" w:line="240" w:lineRule="auto"/>
        <w:ind w:left="442" w:right="2" w:hanging="442" w:hangingChars="200"/>
        <w:rPr>
          <w:rFonts w:ascii="Arial" w:hAnsi="Arial" w:eastAsia="宋体"/>
          <w:b/>
        </w:rPr>
      </w:pPr>
      <w:r>
        <w:rPr>
          <w:rFonts w:hint="eastAsia" w:ascii="Arial" w:hAnsi="Arial" w:eastAsia="宋体"/>
          <w:b/>
          <w:lang w:eastAsia="ja-JP"/>
        </w:rPr>
        <w:t xml:space="preserve">Agenda item:    </w:t>
      </w:r>
      <w:r>
        <w:rPr>
          <w:rFonts w:hint="eastAsia" w:ascii="Arial" w:hAnsi="Arial" w:eastAsia="宋体"/>
          <w:b/>
        </w:rPr>
        <w:t>8.5.3</w:t>
      </w:r>
    </w:p>
    <w:bookmarkEnd w:id="2"/>
    <w:bookmarkEnd w:id="3"/>
    <w:bookmarkEnd w:id="4"/>
    <w:bookmarkEnd w:id="5"/>
    <w:p>
      <w:pPr>
        <w:pBdr>
          <w:bottom w:val="single" w:color="auto" w:sz="6" w:space="1"/>
        </w:pBdr>
        <w:snapToGrid w:val="0"/>
        <w:spacing w:after="0" w:line="240" w:lineRule="auto"/>
        <w:ind w:left="1797" w:hanging="1797"/>
        <w:rPr>
          <w:rFonts w:ascii="Arial" w:hAnsi="Arial" w:eastAsia="宋体"/>
          <w:b/>
        </w:rPr>
      </w:pPr>
      <w:r>
        <w:rPr>
          <w:rFonts w:ascii="Arial" w:hAnsi="Arial"/>
          <w:b/>
        </w:rPr>
        <w:t>Document for:</w:t>
      </w:r>
      <w:r>
        <w:rPr>
          <w:rFonts w:ascii="Arial" w:hAnsi="Arial"/>
          <w:b/>
          <w:lang w:eastAsia="ja-JP"/>
        </w:rPr>
        <w:tab/>
      </w:r>
      <w:r>
        <w:rPr>
          <w:rFonts w:ascii="Arial" w:hAnsi="Arial"/>
          <w:b/>
          <w:lang w:eastAsia="ja-JP"/>
        </w:rPr>
        <w:t>Discussion and Decision</w:t>
      </w:r>
    </w:p>
    <w:p>
      <w:pPr>
        <w:pStyle w:val="2"/>
        <w:snapToGrid w:val="0"/>
        <w:spacing w:before="180" w:beforeLines="50" w:after="180" w:afterLines="50"/>
        <w:ind w:left="431" w:hanging="431"/>
        <w:rPr>
          <w:sz w:val="28"/>
          <w:lang w:val="en-US"/>
        </w:rPr>
      </w:pPr>
      <w:r>
        <w:rPr>
          <w:sz w:val="28"/>
          <w:lang w:val="en-US"/>
        </w:rPr>
        <w:t>Introduction</w:t>
      </w:r>
    </w:p>
    <w:p>
      <w:pPr>
        <w:adjustRightInd w:val="0"/>
        <w:snapToGrid w:val="0"/>
        <w:spacing w:before="120" w:after="180" w:afterLines="50" w:line="240" w:lineRule="auto"/>
        <w:jc w:val="both"/>
        <w:rPr>
          <w:rFonts w:ascii="Times New Roman" w:hAnsi="Times New Roman"/>
          <w:sz w:val="20"/>
          <w:szCs w:val="20"/>
        </w:rPr>
      </w:pPr>
      <w:r>
        <w:rPr>
          <w:rFonts w:hint="eastAsia" w:ascii="Times New Roman" w:hAnsi="Times New Roman"/>
          <w:sz w:val="20"/>
          <w:szCs w:val="20"/>
        </w:rPr>
        <w:t xml:space="preserve">According to the agreed WID [1], a number of agreements have been approved to improve positioning accuracy for DL-AOD method before the WID was officially done in RAN1. In this contribution, some remaining issues </w:t>
      </w:r>
      <w:r>
        <w:rPr>
          <w:rFonts w:ascii="Times New Roman" w:hAnsi="Times New Roman"/>
          <w:sz w:val="20"/>
          <w:szCs w:val="20"/>
        </w:rPr>
        <w:t xml:space="preserve">on </w:t>
      </w:r>
      <w:r>
        <w:rPr>
          <w:rFonts w:hint="eastAsia" w:ascii="Times New Roman" w:hAnsi="Times New Roman"/>
          <w:sz w:val="20"/>
          <w:szCs w:val="20"/>
        </w:rPr>
        <w:t xml:space="preserve">accuracy improvements of DL-AOD are analyzed and </w:t>
      </w:r>
      <w:r>
        <w:rPr>
          <w:rFonts w:ascii="Times New Roman" w:hAnsi="Times New Roman"/>
          <w:sz w:val="20"/>
          <w:szCs w:val="20"/>
        </w:rPr>
        <w:t>the corresponding pr</w:t>
      </w:r>
      <w:bookmarkStart w:id="9" w:name="_GoBack"/>
      <w:bookmarkEnd w:id="9"/>
      <w:r>
        <w:rPr>
          <w:rFonts w:ascii="Times New Roman" w:hAnsi="Times New Roman"/>
          <w:sz w:val="20"/>
          <w:szCs w:val="20"/>
        </w:rPr>
        <w:t>oposals are suggested</w:t>
      </w:r>
      <w:r>
        <w:rPr>
          <w:rFonts w:hint="eastAsia" w:ascii="Times New Roman" w:hAnsi="Times New Roman"/>
          <w:sz w:val="20"/>
          <w:szCs w:val="20"/>
        </w:rPr>
        <w:t xml:space="preserve">. </w:t>
      </w:r>
    </w:p>
    <w:p>
      <w:pPr>
        <w:pStyle w:val="2"/>
        <w:snapToGrid w:val="0"/>
        <w:spacing w:before="120" w:after="180" w:afterLines="50"/>
        <w:ind w:left="431" w:hanging="431"/>
        <w:jc w:val="both"/>
        <w:rPr>
          <w:sz w:val="28"/>
          <w:lang w:val="en-US"/>
        </w:rPr>
      </w:pPr>
      <w:r>
        <w:rPr>
          <w:sz w:val="28"/>
          <w:lang w:val="en-GB"/>
        </w:rPr>
        <w:t>Information</w:t>
      </w:r>
      <w:r>
        <w:rPr>
          <w:rFonts w:hint="eastAsia"/>
          <w:sz w:val="28"/>
          <w:lang w:val="en-GB"/>
        </w:rPr>
        <w:t xml:space="preserve"> related to the first arriving path</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We have made agreements to define the path DL PRS RSRP. There are two remaining issues related to the first arriving path</w:t>
      </w:r>
    </w:p>
    <w:p>
      <w:pPr>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Issue#1: Whether the path PRS RSRP measurement should be normalized with PRS RSRP</w:t>
      </w:r>
    </w:p>
    <w:p>
      <w:pPr>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Issue#2: Whether the relative timing between DL PRS resources should also be reported in addition to path PRS RSRP</w:t>
      </w:r>
    </w:p>
    <w:p>
      <w:pPr>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For Question#1, </w:t>
      </w:r>
      <w:r>
        <w:rPr>
          <w:rFonts w:ascii="Times New Roman" w:hAnsi="Times New Roman" w:eastAsia="宋体"/>
          <w:sz w:val="20"/>
          <w:szCs w:val="20"/>
        </w:rPr>
        <w:t>w</w:t>
      </w:r>
      <w:r>
        <w:rPr>
          <w:rFonts w:hint="eastAsia" w:ascii="Times New Roman" w:hAnsi="Times New Roman" w:eastAsia="宋体"/>
          <w:sz w:val="20"/>
          <w:szCs w:val="20"/>
        </w:rPr>
        <w:t>e think the path PRS RSRP of a DL PRS resource should be reported relative to the corresponding DL PRS-RSRP. The path PRS RSRP was proposed to address the case when the DL PRS-RSRP cannot reflect the power variations between different DL PRS resources in a specific angle because of the power contributions from NLOS paths. However, if the DL PRS-RSRP and path PRS RSRP are both reported, which could be used for LOS identification. For example, the Rician K-factor is defined by a ratio between first path (or LOS path) and remaining paths, which can be derived from the DL PRS-RSRP and path PRS RSRP for first detected path.</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The path PRS RSRP of a DL PRS resource is reported relative to the corresponding DL PRS-RSRP at least for first detected path.</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 specified in Rel-16, the network normally configures many reference signal resources for DL-AOD measurement, where different reference signal resources may correspond to different transmission beams. UE will measure reference signals and report RSRP of some resources. Then the network will utilize the measurement to locate the UE based on the angle information in TRP INFORMATION RESPONSE message from TRPs and the DL-AOD measurement report from UE. So, it’s quite straightforward that the largest RSRP of one TRP may be regarded as a line-of-sight direction of the TRP. However, there are some cases that largest RSRP is not actually the line-of-sight direction.</w:t>
      </w:r>
    </w:p>
    <w:p>
      <w:pPr>
        <w:adjustRightInd w:val="0"/>
        <w:snapToGrid w:val="0"/>
        <w:spacing w:before="120" w:after="180" w:afterLines="50" w:line="240" w:lineRule="auto"/>
        <w:jc w:val="center"/>
        <w:rPr>
          <w:rFonts w:ascii="Times New Roman" w:hAnsi="Times New Roman" w:eastAsia="宋体"/>
          <w:sz w:val="20"/>
          <w:szCs w:val="20"/>
        </w:rPr>
      </w:pPr>
      <w:r>
        <w:rPr>
          <w:rFonts w:ascii="Times New Roman" w:hAnsi="Times New Roman" w:eastAsia="宋体"/>
          <w:sz w:val="20"/>
          <w:szCs w:val="20"/>
        </w:rPr>
        <w:object>
          <v:shape id="_x0000_i1025" o:spt="75" type="#_x0000_t75" style="height:129.1pt;width:169.7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adjustRightInd w:val="0"/>
        <w:snapToGrid w:val="0"/>
        <w:spacing w:before="120" w:after="180" w:afterLines="50" w:line="240" w:lineRule="auto"/>
        <w:jc w:val="center"/>
        <w:rPr>
          <w:rFonts w:ascii="Times New Roman" w:hAnsi="Times New Roman"/>
          <w:sz w:val="20"/>
          <w:szCs w:val="20"/>
        </w:rPr>
      </w:pPr>
      <w:r>
        <w:rPr>
          <w:rFonts w:ascii="Times New Roman" w:hAnsi="Times New Roman"/>
          <w:sz w:val="20"/>
          <w:szCs w:val="20"/>
        </w:rPr>
        <w:t>FIG.1 Example of Attenuated Line of Sight (ALOS) link</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Take FIG.1 as an example, even though RS1 is in the line-of-sight direction</w:t>
      </w:r>
      <w:r>
        <w:rPr>
          <w:rFonts w:hint="eastAsia" w:ascii="Times New Roman" w:hAnsi="Times New Roman"/>
          <w:sz w:val="20"/>
          <w:szCs w:val="20"/>
        </w:rPr>
        <w:t>. H</w:t>
      </w:r>
      <w:r>
        <w:rPr>
          <w:rFonts w:ascii="Times New Roman" w:hAnsi="Times New Roman"/>
          <w:sz w:val="20"/>
          <w:szCs w:val="20"/>
        </w:rPr>
        <w:t xml:space="preserve">owever, the power of RS1 attenuates a lot due to the blockage (i.e. ALOS). As a consequence, the RSRP1 value may be smaller than RSRP2 value even the RS1 corresponds to a line-of-sight direction and RS2 corresponds to the non-line-of-sight direction. Therefore, if the positioning </w:t>
      </w:r>
      <w:r>
        <w:rPr>
          <w:rFonts w:hint="eastAsia" w:ascii="Times New Roman" w:hAnsi="Times New Roman"/>
          <w:sz w:val="20"/>
          <w:szCs w:val="20"/>
        </w:rPr>
        <w:t>calculation</w:t>
      </w:r>
      <w:r>
        <w:rPr>
          <w:rFonts w:ascii="Times New Roman" w:hAnsi="Times New Roman"/>
          <w:sz w:val="20"/>
          <w:szCs w:val="20"/>
        </w:rPr>
        <w:t xml:space="preserve"> is based on RS2 at network side, the positioning performance will degrade consequently. So, how to find a promising way to address this problem is important for DL-AOD enhancement.</w:t>
      </w:r>
    </w:p>
    <w:p>
      <w:pPr>
        <w:snapToGrid w:val="0"/>
        <w:spacing w:before="180" w:beforeLines="50" w:after="180" w:afterLines="50" w:line="240" w:lineRule="auto"/>
        <w:jc w:val="both"/>
        <w:rPr>
          <w:rFonts w:ascii="Times New Roman" w:hAnsi="Times New Roman"/>
          <w:sz w:val="20"/>
          <w:szCs w:val="20"/>
        </w:rPr>
      </w:pPr>
      <w:r>
        <w:rPr>
          <w:rFonts w:ascii="Times New Roman" w:hAnsi="Times New Roman"/>
          <w:b/>
          <w:bCs/>
          <w:i/>
          <w:iCs/>
          <w:sz w:val="20"/>
          <w:szCs w:val="20"/>
        </w:rPr>
        <w:t>Observation 1:</w:t>
      </w:r>
      <w:r>
        <w:rPr>
          <w:rFonts w:ascii="Times New Roman" w:hAnsi="Times New Roman"/>
          <w:sz w:val="20"/>
          <w:szCs w:val="20"/>
        </w:rPr>
        <w:t xml:space="preserve"> </w:t>
      </w:r>
      <w:r>
        <w:rPr>
          <w:rFonts w:ascii="Times New Roman" w:hAnsi="Times New Roman"/>
          <w:i/>
          <w:iCs/>
          <w:sz w:val="20"/>
          <w:szCs w:val="20"/>
        </w:rPr>
        <w:t xml:space="preserve">For a DL-AOD measurement report, due to ALOS problem, the largest </w:t>
      </w:r>
      <w:r>
        <w:rPr>
          <w:rFonts w:hint="eastAsia" w:ascii="Times New Roman" w:hAnsi="Times New Roman"/>
          <w:i/>
          <w:iCs/>
          <w:sz w:val="20"/>
          <w:szCs w:val="20"/>
        </w:rPr>
        <w:t xml:space="preserve">first path PRS </w:t>
      </w:r>
      <w:r>
        <w:rPr>
          <w:rFonts w:ascii="Times New Roman" w:hAnsi="Times New Roman"/>
          <w:i/>
          <w:iCs/>
          <w:sz w:val="20"/>
          <w:szCs w:val="20"/>
        </w:rPr>
        <w:t>RSRP may not correspond to the line-of-sight direction.</w:t>
      </w:r>
    </w:p>
    <w:p>
      <w:p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According to previous agreements</w:t>
      </w:r>
      <w:r>
        <w:rPr>
          <w:rFonts w:ascii="Times New Roman" w:hAnsi="Times New Roman"/>
          <w:sz w:val="20"/>
          <w:szCs w:val="20"/>
        </w:rPr>
        <w:t xml:space="preserve">, DL-AOD report supports </w:t>
      </w:r>
      <w:r>
        <w:rPr>
          <w:rFonts w:hint="eastAsia" w:ascii="Times New Roman" w:hAnsi="Times New Roman"/>
          <w:sz w:val="20"/>
          <w:szCs w:val="20"/>
        </w:rPr>
        <w:t xml:space="preserve">path PRS </w:t>
      </w:r>
      <w:r>
        <w:rPr>
          <w:rFonts w:ascii="Times New Roman" w:hAnsi="Times New Roman"/>
          <w:sz w:val="20"/>
          <w:szCs w:val="20"/>
        </w:rPr>
        <w:t xml:space="preserve">RSRP measurement by UE. One possible way to address above problem is that UE should be capable of doing timing measurement aside from </w:t>
      </w:r>
      <w:r>
        <w:rPr>
          <w:rFonts w:hint="eastAsia" w:ascii="Times New Roman" w:hAnsi="Times New Roman"/>
          <w:sz w:val="20"/>
          <w:szCs w:val="20"/>
        </w:rPr>
        <w:t xml:space="preserve">path PRS </w:t>
      </w:r>
      <w:r>
        <w:rPr>
          <w:rFonts w:ascii="Times New Roman" w:hAnsi="Times New Roman"/>
          <w:sz w:val="20"/>
          <w:szCs w:val="20"/>
        </w:rPr>
        <w:t xml:space="preserve">RSRP measurement. That is, UE can also report reception timings in addition to RSRP, so that UE can provide some supplementary information for network to decide which RSRP or which reference signal probably corresponds to a line-of-sight direction. Even if a UE is not capable of supporting timing based positioning methods (e.g. DL-TDOA or Multi-RTT), the timing information in DL-AOD measurement report is still beneficial for positioning accuracy improvement. </w:t>
      </w:r>
    </w:p>
    <w:p>
      <w:pPr>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 first example, the timing information could be time of arrival (TOA) of reference signal so that the reference signal corresponding LOS direction has smallest TOA and the network may utilize the arriving time of RS1 shown in FIG.1 to locate the UE coarsely. </w:t>
      </w:r>
    </w:p>
    <w:p>
      <w:pPr>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a second example, as shown in FIG.1, if the </w:t>
      </w:r>
      <w:bookmarkStart w:id="6" w:name="OLE_LINK5"/>
      <w:r>
        <w:rPr>
          <w:rFonts w:hint="eastAsia" w:ascii="Times New Roman" w:hAnsi="Times New Roman"/>
          <w:sz w:val="20"/>
          <w:szCs w:val="20"/>
        </w:rPr>
        <w:t>reference signal time difference</w:t>
      </w:r>
      <w:bookmarkEnd w:id="6"/>
      <w:r>
        <w:rPr>
          <w:rFonts w:hint="eastAsia" w:ascii="Times New Roman" w:hAnsi="Times New Roman"/>
          <w:sz w:val="20"/>
          <w:szCs w:val="20"/>
        </w:rPr>
        <w:t xml:space="preserve"> of RS1 and RS2 is reported (i.e. Intra-TRP TDOA), it can provide additional information for single base station based positioning, i.e. the time difference between different reference signals may determine a virtual base station.</w:t>
      </w:r>
    </w:p>
    <w:p>
      <w:pPr>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a last example, if LMF gets a first path DL PRS RSRP vector from UE, LMF wants to make sure that all RSRP(s) have experienced almost the same path loss over air. So, LMF can believe that the power differences between first path PRS RSRPs are caused by the power differences between beam gains on a specific angle.</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2: </w:t>
      </w:r>
      <w:r>
        <w:rPr>
          <w:rFonts w:hint="eastAsia" w:ascii="Times New Roman" w:hAnsi="Times New Roman"/>
          <w:i/>
          <w:iCs/>
          <w:sz w:val="20"/>
          <w:szCs w:val="20"/>
        </w:rPr>
        <w:t>The timing information in DL-AOD measurement report can bring the following benefits,</w:t>
      </w:r>
    </w:p>
    <w:p>
      <w:pPr>
        <w:numPr>
          <w:ilvl w:val="0"/>
          <w:numId w:val="3"/>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Network may utilize time of arrival (TOA) to locate the UE coarsely;</w:t>
      </w:r>
    </w:p>
    <w:p>
      <w:pPr>
        <w:numPr>
          <w:ilvl w:val="0"/>
          <w:numId w:val="3"/>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It can provide additional information for single base station based positioning, i.e. the time difference between different reference signals may determine a virtual base station;</w:t>
      </w:r>
    </w:p>
    <w:p>
      <w:pPr>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
          <w:iCs/>
          <w:sz w:val="20"/>
          <w:szCs w:val="20"/>
        </w:rPr>
        <w:t>LMF can believe that the power differences between first path PRS RSRPs are caused by the power differences between beam gains on a specific angle.</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2</w:t>
      </w:r>
      <w:r>
        <w:rPr>
          <w:rFonts w:ascii="Times New Roman" w:hAnsi="Times New Roman"/>
          <w:b/>
          <w:bCs/>
          <w:i/>
          <w:iCs/>
          <w:sz w:val="20"/>
          <w:szCs w:val="20"/>
        </w:rPr>
        <w:t>:</w:t>
      </w:r>
      <w:r>
        <w:rPr>
          <w:rFonts w:ascii="Times New Roman" w:hAnsi="Times New Roman"/>
          <w:i/>
          <w:iCs/>
          <w:sz w:val="20"/>
          <w:szCs w:val="20"/>
        </w:rPr>
        <w:t xml:space="preserve"> In addition to </w:t>
      </w:r>
      <w:r>
        <w:rPr>
          <w:rFonts w:hint="eastAsia" w:ascii="Times New Roman" w:hAnsi="Times New Roman"/>
          <w:i/>
          <w:iCs/>
          <w:sz w:val="20"/>
          <w:szCs w:val="20"/>
        </w:rPr>
        <w:t xml:space="preserve">first path DL PRS </w:t>
      </w:r>
      <w:r>
        <w:rPr>
          <w:rFonts w:ascii="Times New Roman" w:hAnsi="Times New Roman"/>
          <w:i/>
          <w:iCs/>
          <w:sz w:val="20"/>
          <w:szCs w:val="20"/>
        </w:rPr>
        <w:t>RSRP measurement for UE-assisted DL-AOD, Rel-17 UE should be able to report information corresponds to the arrival time of the first path, which includes,</w:t>
      </w:r>
    </w:p>
    <w:p>
      <w:pPr>
        <w:numPr>
          <w:ilvl w:val="0"/>
          <w:numId w:val="3"/>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Time</w:t>
      </w:r>
      <w:r>
        <w:rPr>
          <w:rFonts w:ascii="Times New Roman" w:hAnsi="Times New Roman"/>
          <w:i/>
          <w:iCs/>
          <w:sz w:val="20"/>
          <w:szCs w:val="20"/>
        </w:rPr>
        <w:t xml:space="preserve"> </w:t>
      </w:r>
      <w:r>
        <w:rPr>
          <w:rFonts w:hint="eastAsia" w:ascii="Times New Roman" w:hAnsi="Times New Roman"/>
          <w:i/>
          <w:iCs/>
          <w:sz w:val="20"/>
          <w:szCs w:val="20"/>
        </w:rPr>
        <w:t xml:space="preserve">of arrival( i.e. TOA) for </w:t>
      </w:r>
      <w:r>
        <w:rPr>
          <w:rFonts w:ascii="Times New Roman" w:hAnsi="Times New Roman"/>
          <w:i/>
          <w:iCs/>
          <w:sz w:val="20"/>
          <w:szCs w:val="20"/>
        </w:rPr>
        <w:t xml:space="preserve">at least one </w:t>
      </w:r>
      <w:r>
        <w:rPr>
          <w:rFonts w:hint="eastAsia" w:ascii="Times New Roman" w:hAnsi="Times New Roman"/>
          <w:i/>
          <w:iCs/>
          <w:sz w:val="20"/>
          <w:szCs w:val="20"/>
        </w:rPr>
        <w:t>DL PRS resource per TRP</w:t>
      </w:r>
    </w:p>
    <w:p>
      <w:pPr>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
          <w:iCs/>
          <w:sz w:val="20"/>
          <w:szCs w:val="20"/>
        </w:rPr>
        <w:t>T</w:t>
      </w:r>
      <w:r>
        <w:rPr>
          <w:rFonts w:ascii="Times New Roman" w:hAnsi="Times New Roman"/>
          <w:i/>
          <w:iCs/>
          <w:sz w:val="20"/>
          <w:szCs w:val="20"/>
        </w:rPr>
        <w:t xml:space="preserve">ime differences </w:t>
      </w:r>
      <w:r>
        <w:rPr>
          <w:rFonts w:hint="eastAsia" w:ascii="Times New Roman" w:hAnsi="Times New Roman"/>
          <w:i/>
          <w:iCs/>
          <w:sz w:val="20"/>
          <w:szCs w:val="20"/>
        </w:rPr>
        <w:t xml:space="preserve">of first detected paths </w:t>
      </w:r>
      <w:r>
        <w:rPr>
          <w:rFonts w:ascii="Times New Roman" w:hAnsi="Times New Roman"/>
          <w:i/>
          <w:iCs/>
          <w:sz w:val="20"/>
          <w:szCs w:val="20"/>
        </w:rPr>
        <w:t xml:space="preserve">among </w:t>
      </w:r>
      <w:r>
        <w:rPr>
          <w:rFonts w:hint="eastAsia" w:ascii="Times New Roman" w:hAnsi="Times New Roman"/>
          <w:i/>
          <w:iCs/>
          <w:sz w:val="20"/>
          <w:szCs w:val="20"/>
        </w:rPr>
        <w:t>DL PRS resources</w:t>
      </w:r>
      <w:r>
        <w:rPr>
          <w:rFonts w:ascii="Times New Roman" w:hAnsi="Times New Roman"/>
          <w:i/>
          <w:iCs/>
          <w:sz w:val="20"/>
          <w:szCs w:val="20"/>
        </w:rPr>
        <w:t xml:space="preserve"> from the same TRP</w:t>
      </w:r>
      <w:r>
        <w:rPr>
          <w:rFonts w:hint="eastAsia" w:ascii="Times New Roman" w:hAnsi="Times New Roman"/>
          <w:i/>
          <w:iCs/>
          <w:sz w:val="20"/>
          <w:szCs w:val="20"/>
        </w:rPr>
        <w:t xml:space="preserve"> (i.e. Intra-TRP TDOA)</w:t>
      </w:r>
    </w:p>
    <w:p>
      <w:pPr>
        <w:pStyle w:val="2"/>
        <w:rPr>
          <w:lang w:val="en-US"/>
        </w:rPr>
      </w:pPr>
      <w:r>
        <w:rPr>
          <w:rFonts w:hint="eastAsia"/>
          <w:lang w:val="en-US"/>
        </w:rPr>
        <w:t>Angle calculation enhancement for DL-AoD</w:t>
      </w:r>
      <w:r>
        <w:rPr>
          <w:lang w:val="en-US"/>
        </w:rPr>
        <w:t xml:space="preserve"> </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tcPr>
          <w:p>
            <w:pPr>
              <w:spacing w:before="180" w:beforeLines="50" w:after="10" w:line="240" w:lineRule="auto"/>
              <w:rPr>
                <w:rFonts w:ascii="Times New Roman" w:hAnsi="Times New Roman" w:eastAsia="宋体"/>
                <w:b/>
                <w:bCs/>
                <w:sz w:val="20"/>
                <w:szCs w:val="20"/>
                <w:u w:val="single"/>
              </w:rPr>
            </w:pPr>
            <w:r>
              <w:rPr>
                <w:rFonts w:ascii="Times New Roman" w:hAnsi="Times New Roman" w:eastAsia="Batang"/>
                <w:b/>
                <w:bCs/>
                <w:sz w:val="20"/>
                <w:szCs w:val="20"/>
                <w:u w:val="single"/>
                <w:lang w:val="en-GB" w:eastAsia="en-US"/>
              </w:rPr>
              <w:t>Agreement</w:t>
            </w:r>
            <w:r>
              <w:rPr>
                <w:rFonts w:hint="eastAsia" w:ascii="Times New Roman" w:hAnsi="Times New Roman" w:eastAsia="宋体"/>
                <w:b/>
                <w:bCs/>
                <w:sz w:val="20"/>
                <w:szCs w:val="20"/>
                <w:u w:val="single"/>
              </w:rPr>
              <w:t>:</w:t>
            </w:r>
          </w:p>
          <w:p>
            <w:pPr>
              <w:spacing w:before="180" w:beforeLines="50" w:after="180" w:afterLines="50" w:line="240" w:lineRule="auto"/>
              <w:rPr>
                <w:rFonts w:ascii="Times New Roman" w:hAnsi="Times New Roman"/>
                <w:iCs/>
                <w:sz w:val="20"/>
                <w:szCs w:val="20"/>
              </w:rPr>
            </w:pPr>
            <w:r>
              <w:rPr>
                <w:rFonts w:ascii="Times New Roman" w:hAnsi="Times New Roman"/>
                <w:iCs/>
                <w:sz w:val="20"/>
                <w:szCs w:val="20"/>
              </w:rPr>
              <w:t>From the RAN1 perspective, for the TRP beam/antenna information to be optionally provided by the LMF to the UE for UE-based DL-AoD:</w:t>
            </w:r>
          </w:p>
          <w:p>
            <w:pPr>
              <w:numPr>
                <w:ilvl w:val="0"/>
                <w:numId w:val="4"/>
              </w:numPr>
              <w:spacing w:before="180" w:beforeLines="50" w:after="180" w:afterLines="50" w:line="240" w:lineRule="auto"/>
              <w:rPr>
                <w:rFonts w:ascii="Times New Roman" w:hAnsi="Times New Roman"/>
                <w:iCs/>
                <w:sz w:val="20"/>
                <w:szCs w:val="20"/>
              </w:rPr>
            </w:pPr>
            <w:r>
              <w:rPr>
                <w:rFonts w:ascii="Times New Roman" w:hAnsi="Times New Roman"/>
                <w:iCs/>
                <w:sz w:val="20"/>
                <w:szCs w:val="20"/>
              </w:rPr>
              <w:t>The LMF provides the quantized version of the relative Power between PRS resources per angle per TRP.</w:t>
            </w:r>
          </w:p>
          <w:p>
            <w:pPr>
              <w:pStyle w:val="101"/>
              <w:numPr>
                <w:ilvl w:val="1"/>
                <w:numId w:val="5"/>
              </w:numPr>
              <w:autoSpaceDE/>
              <w:autoSpaceDN/>
              <w:adjustRightInd/>
              <w:snapToGrid/>
              <w:spacing w:before="180" w:beforeLines="50" w:after="180" w:afterLines="50" w:line="240" w:lineRule="auto"/>
              <w:jc w:val="left"/>
              <w:rPr>
                <w:sz w:val="20"/>
                <w:szCs w:val="20"/>
              </w:rPr>
            </w:pPr>
            <w:r>
              <w:rPr>
                <w:sz w:val="20"/>
                <w:szCs w:val="20"/>
              </w:rPr>
              <w:t>The relative power is defined with respect to the peak power in each angle</w:t>
            </w:r>
          </w:p>
          <w:p>
            <w:pPr>
              <w:pStyle w:val="101"/>
              <w:numPr>
                <w:ilvl w:val="1"/>
                <w:numId w:val="5"/>
              </w:numPr>
              <w:autoSpaceDE/>
              <w:autoSpaceDN/>
              <w:adjustRightInd/>
              <w:snapToGrid/>
              <w:spacing w:before="180" w:beforeLines="50" w:after="180" w:afterLines="50" w:line="240" w:lineRule="auto"/>
              <w:jc w:val="left"/>
              <w:rPr>
                <w:sz w:val="20"/>
                <w:szCs w:val="20"/>
              </w:rPr>
            </w:pPr>
            <w:r>
              <w:rPr>
                <w:sz w:val="20"/>
                <w:szCs w:val="20"/>
              </w:rPr>
              <w:t>For each angle, at least two PRS resources are reported.</w:t>
            </w:r>
          </w:p>
          <w:p>
            <w:pPr>
              <w:numPr>
                <w:ilvl w:val="1"/>
                <w:numId w:val="5"/>
              </w:numPr>
              <w:spacing w:before="180" w:beforeLines="50" w:after="180" w:afterLines="50" w:line="240" w:lineRule="auto"/>
              <w:outlineLvl w:val="0"/>
              <w:rPr>
                <w:rFonts w:ascii="Times New Roman" w:hAnsi="Times New Roman"/>
                <w:sz w:val="20"/>
                <w:szCs w:val="20"/>
              </w:rPr>
            </w:pPr>
            <w:r>
              <w:rPr>
                <w:rFonts w:ascii="Times New Roman" w:hAnsi="Times New Roman"/>
                <w:sz w:val="20"/>
                <w:szCs w:val="20"/>
              </w:rPr>
              <w:t>Note: the peak power per angle is not provided</w:t>
            </w:r>
          </w:p>
          <w:p>
            <w:pPr>
              <w:numPr>
                <w:ilvl w:val="0"/>
                <w:numId w:val="4"/>
              </w:numPr>
              <w:spacing w:before="180" w:beforeLines="50" w:after="180" w:afterLines="50" w:line="240" w:lineRule="auto"/>
              <w:rPr>
                <w:rFonts w:ascii="Times New Roman" w:hAnsi="Times New Roman"/>
                <w:iCs/>
                <w:sz w:val="20"/>
                <w:szCs w:val="20"/>
              </w:rPr>
            </w:pPr>
            <w:r>
              <w:rPr>
                <w:rFonts w:ascii="Times New Roman" w:hAnsi="Times New Roman"/>
                <w:iCs/>
                <w:sz w:val="20"/>
                <w:szCs w:val="20"/>
              </w:rPr>
              <w:t>Note: up to RAN3 to decide how the TRP beam information is provided to the LMF for both UE-assisted and UE-based</w:t>
            </w:r>
          </w:p>
          <w:p>
            <w:pPr>
              <w:numPr>
                <w:ilvl w:val="0"/>
                <w:numId w:val="4"/>
              </w:numPr>
              <w:spacing w:before="180" w:beforeLines="50" w:after="180" w:afterLines="50" w:line="240" w:lineRule="auto"/>
              <w:rPr>
                <w:rFonts w:ascii="Times New Roman" w:hAnsi="Times New Roman"/>
                <w:iCs/>
                <w:sz w:val="20"/>
                <w:szCs w:val="20"/>
              </w:rPr>
            </w:pPr>
            <w:r>
              <w:rPr>
                <w:rFonts w:ascii="Times New Roman" w:hAnsi="Times New Roman"/>
                <w:iCs/>
                <w:sz w:val="20"/>
                <w:szCs w:val="20"/>
              </w:rPr>
              <w:t>Send an LS to RAN2/RAN3 to decide on the signaling details</w:t>
            </w:r>
          </w:p>
          <w:p>
            <w:pPr>
              <w:spacing w:before="180" w:beforeLines="50" w:after="180" w:afterLines="50" w:line="240" w:lineRule="auto"/>
              <w:rPr>
                <w:rFonts w:ascii="Times New Roman" w:hAnsi="Times New Roman"/>
                <w:bCs/>
                <w:iCs/>
                <w:sz w:val="20"/>
                <w:szCs w:val="20"/>
                <w:u w:val="single"/>
              </w:rPr>
            </w:pPr>
            <w:r>
              <w:rPr>
                <w:rFonts w:ascii="Times New Roman" w:hAnsi="Times New Roman"/>
                <w:b/>
                <w:bCs/>
                <w:iCs/>
                <w:sz w:val="20"/>
                <w:szCs w:val="20"/>
                <w:u w:val="single"/>
              </w:rPr>
              <w:t>Agreement</w:t>
            </w:r>
            <w:r>
              <w:rPr>
                <w:rFonts w:hint="eastAsia" w:ascii="Times New Roman" w:hAnsi="Times New Roman"/>
                <w:b/>
                <w:bCs/>
                <w:iCs/>
                <w:sz w:val="20"/>
                <w:szCs w:val="20"/>
                <w:u w:val="single"/>
              </w:rPr>
              <w:t>:</w:t>
            </w:r>
          </w:p>
          <w:p>
            <w:pPr>
              <w:spacing w:before="180" w:beforeLines="50" w:after="180" w:afterLines="50" w:line="240" w:lineRule="auto"/>
              <w:rPr>
                <w:rFonts w:ascii="Times New Roman" w:hAnsi="Times New Roman"/>
                <w:bCs/>
                <w:iCs/>
                <w:sz w:val="20"/>
                <w:szCs w:val="20"/>
              </w:rPr>
            </w:pPr>
            <w:r>
              <w:rPr>
                <w:rFonts w:ascii="Times New Roman" w:hAnsi="Times New Roman"/>
                <w:bCs/>
                <w:iCs/>
                <w:sz w:val="20"/>
                <w:szCs w:val="20"/>
              </w:rPr>
              <w:t xml:space="preserve">For the purpose of both UE-B and UE-A DL-AoD, and with regards to the support of AOD measurements with an expected uncertainty window, the following is supported </w:t>
            </w:r>
          </w:p>
          <w:p>
            <w:pPr>
              <w:pStyle w:val="96"/>
              <w:numPr>
                <w:ilvl w:val="0"/>
                <w:numId w:val="6"/>
              </w:numPr>
              <w:spacing w:before="180" w:beforeLines="50" w:after="180" w:afterLines="50" w:line="240" w:lineRule="auto"/>
              <w:ind w:left="771" w:leftChars="0" w:hanging="357"/>
              <w:rPr>
                <w:rFonts w:ascii="Times New Roman" w:hAnsi="Times New Roman"/>
                <w:bCs/>
                <w:iCs/>
                <w:sz w:val="20"/>
                <w:szCs w:val="20"/>
              </w:rPr>
            </w:pPr>
            <w:r>
              <w:rPr>
                <w:rFonts w:ascii="Times New Roman" w:hAnsi="Times New Roman"/>
                <w:bCs/>
                <w:iCs/>
                <w:sz w:val="20"/>
                <w:szCs w:val="20"/>
              </w:rPr>
              <w:t>Indication of expected angle value and uncertainty (of the expected azimuth and zenith angle value) range(s) is signaled by the LMF to the UE</w:t>
            </w:r>
          </w:p>
          <w:p>
            <w:pPr>
              <w:pStyle w:val="96"/>
              <w:numPr>
                <w:ilvl w:val="0"/>
                <w:numId w:val="6"/>
              </w:numPr>
              <w:spacing w:before="180" w:beforeLines="50" w:after="180" w:afterLines="50" w:line="240" w:lineRule="auto"/>
              <w:ind w:left="771" w:leftChars="0" w:hanging="357"/>
              <w:rPr>
                <w:rFonts w:ascii="Times New Roman" w:hAnsi="Times New Roman"/>
                <w:bCs/>
                <w:iCs/>
                <w:sz w:val="20"/>
                <w:szCs w:val="20"/>
              </w:rPr>
            </w:pPr>
            <w:r>
              <w:rPr>
                <w:rFonts w:ascii="Times New Roman" w:hAnsi="Times New Roman"/>
                <w:bCs/>
                <w:iCs/>
                <w:sz w:val="20"/>
                <w:szCs w:val="20"/>
              </w:rPr>
              <w:t>The type of expected angle and uncertainty can be requested by the UE, between the following options</w:t>
            </w:r>
          </w:p>
          <w:p>
            <w:pPr>
              <w:numPr>
                <w:ilvl w:val="2"/>
                <w:numId w:val="7"/>
              </w:numPr>
              <w:spacing w:before="180" w:beforeLines="50" w:after="180" w:afterLines="50" w:line="240" w:lineRule="auto"/>
              <w:rPr>
                <w:rFonts w:ascii="Times New Roman" w:hAnsi="Times New Roman"/>
                <w:bCs/>
                <w:iCs/>
                <w:sz w:val="20"/>
                <w:szCs w:val="20"/>
              </w:rPr>
            </w:pPr>
            <w:r>
              <w:rPr>
                <w:rFonts w:ascii="Times New Roman" w:hAnsi="Times New Roman"/>
                <w:bCs/>
                <w:iCs/>
                <w:sz w:val="20"/>
                <w:szCs w:val="20"/>
              </w:rPr>
              <w:t>Option 1: Indication of expected DL-AoD/ZoD value and uncertainty (of the expected DL-AoD/ZoD value) range(s) is signaled by the LMF to the UE</w:t>
            </w:r>
          </w:p>
          <w:p>
            <w:pPr>
              <w:numPr>
                <w:ilvl w:val="2"/>
                <w:numId w:val="7"/>
              </w:numPr>
              <w:spacing w:before="180" w:beforeLines="50" w:after="180" w:afterLines="50" w:line="240" w:lineRule="auto"/>
              <w:rPr>
                <w:rFonts w:ascii="Times New Roman" w:hAnsi="Times New Roman"/>
                <w:sz w:val="20"/>
                <w:szCs w:val="20"/>
              </w:rPr>
            </w:pPr>
            <w:r>
              <w:rPr>
                <w:rFonts w:ascii="Times New Roman" w:hAnsi="Times New Roman"/>
                <w:bCs/>
                <w:iCs/>
                <w:sz w:val="20"/>
                <w:szCs w:val="20"/>
              </w:rPr>
              <w:t>Option 2: Indication of expected DL-AoA/ZoA value and uncertainty (of the expected DL-AoA/ZoA value) range(s) is signaled by the LMF to the UE</w:t>
            </w:r>
          </w:p>
        </w:tc>
      </w:tr>
    </w:tbl>
    <w:p>
      <w:pPr>
        <w:snapToGrid w:val="0"/>
        <w:spacing w:before="180" w:beforeLines="50" w:after="180" w:afterLines="50" w:line="240" w:lineRule="auto"/>
        <w:jc w:val="both"/>
        <w:rPr>
          <w:rFonts w:ascii="Times" w:hAnsi="Times" w:eastAsia="Batang"/>
          <w:sz w:val="20"/>
          <w:szCs w:val="20"/>
        </w:rPr>
      </w:pPr>
      <w:r>
        <w:rPr>
          <w:rFonts w:hint="eastAsia" w:ascii="Times" w:hAnsi="Times" w:eastAsia="宋体"/>
          <w:sz w:val="20"/>
          <w:szCs w:val="20"/>
        </w:rPr>
        <w:t>To assist angle calculation for UE-based DL-AOD, the above agreement was approved. I</w:t>
      </w:r>
      <w:r>
        <w:rPr>
          <w:rFonts w:hint="eastAsia" w:ascii="Times New Roman" w:hAnsi="Times New Roman" w:eastAsia="宋体"/>
          <w:sz w:val="20"/>
          <w:szCs w:val="20"/>
        </w:rPr>
        <w:t xml:space="preserve">f LMF is aware of beam pattern information of TRP, </w:t>
      </w:r>
      <w:r>
        <w:rPr>
          <w:rFonts w:ascii="Times New Roman" w:hAnsi="Times New Roman" w:eastAsia="宋体"/>
          <w:sz w:val="20"/>
          <w:szCs w:val="20"/>
          <w:lang w:val="en-GB" w:eastAsia="ja-JP"/>
        </w:rPr>
        <w:t>a mapping of angle and beam gains for each of the PRS resources</w:t>
      </w:r>
      <w:r>
        <w:rPr>
          <w:rFonts w:hint="eastAsia" w:ascii="Times New Roman" w:hAnsi="Times New Roman" w:eastAsia="宋体"/>
          <w:sz w:val="20"/>
          <w:szCs w:val="20"/>
        </w:rPr>
        <w:t xml:space="preserve"> can be provided directly to UE. However, p</w:t>
      </w:r>
      <w:r>
        <w:rPr>
          <w:rFonts w:ascii="Times" w:hAnsi="Times" w:eastAsia="Batang"/>
          <w:sz w:val="20"/>
          <w:szCs w:val="20"/>
        </w:rPr>
        <w:t xml:space="preserve">roviding </w:t>
      </w:r>
      <w:r>
        <w:rPr>
          <w:rFonts w:ascii="Times" w:hAnsi="Times" w:eastAsia="宋体"/>
          <w:sz w:val="20"/>
          <w:szCs w:val="20"/>
        </w:rPr>
        <w:t>angle and gain table</w:t>
      </w:r>
      <w:r>
        <w:rPr>
          <w:rFonts w:ascii="Times" w:hAnsi="Times" w:eastAsia="Batang"/>
          <w:sz w:val="20"/>
          <w:szCs w:val="20"/>
        </w:rPr>
        <w:t xml:space="preserve"> for </w:t>
      </w:r>
      <w:r>
        <w:rPr>
          <w:rFonts w:ascii="Times" w:hAnsi="Times" w:eastAsia="宋体"/>
          <w:sz w:val="20"/>
          <w:szCs w:val="20"/>
        </w:rPr>
        <w:t xml:space="preserve">all </w:t>
      </w:r>
      <w:r>
        <w:rPr>
          <w:rFonts w:ascii="Times" w:hAnsi="Times" w:eastAsia="Batang"/>
          <w:sz w:val="20"/>
          <w:szCs w:val="20"/>
        </w:rPr>
        <w:t>DL PRS resource</w:t>
      </w:r>
      <w:r>
        <w:rPr>
          <w:rFonts w:ascii="Times" w:hAnsi="Times" w:eastAsia="宋体"/>
          <w:sz w:val="20"/>
          <w:szCs w:val="20"/>
        </w:rPr>
        <w:t>s</w:t>
      </w:r>
      <w:r>
        <w:rPr>
          <w:rFonts w:ascii="Times" w:hAnsi="Times" w:eastAsia="Batang"/>
          <w:sz w:val="20"/>
          <w:szCs w:val="20"/>
        </w:rPr>
        <w:t xml:space="preserve"> to UE will consume a mass of overhead. </w:t>
      </w:r>
      <w:r>
        <w:rPr>
          <w:rFonts w:ascii="Times" w:hAnsi="Times" w:eastAsia="宋体"/>
          <w:sz w:val="20"/>
          <w:szCs w:val="20"/>
        </w:rPr>
        <w:t>Fortunately,</w:t>
      </w:r>
      <w:r>
        <w:rPr>
          <w:rFonts w:ascii="Times" w:hAnsi="Times" w:eastAsia="Batang"/>
          <w:sz w:val="20"/>
          <w:szCs w:val="20"/>
        </w:rPr>
        <w:t xml:space="preserve"> </w:t>
      </w:r>
      <w:r>
        <w:rPr>
          <w:rFonts w:ascii="Times" w:hAnsi="Times" w:eastAsia="宋体"/>
          <w:sz w:val="20"/>
          <w:szCs w:val="20"/>
        </w:rPr>
        <w:t>a</w:t>
      </w:r>
      <w:r>
        <w:rPr>
          <w:rFonts w:ascii="Times" w:hAnsi="Times" w:eastAsia="Batang"/>
          <w:sz w:val="20"/>
          <w:szCs w:val="20"/>
        </w:rPr>
        <w:t xml:space="preserve">s </w:t>
      </w:r>
      <w:r>
        <w:rPr>
          <w:rFonts w:hint="eastAsia" w:ascii="Times" w:hAnsi="Times" w:eastAsia="宋体"/>
          <w:sz w:val="20"/>
          <w:szCs w:val="20"/>
        </w:rPr>
        <w:t>we agreed in RAN1#107-e</w:t>
      </w:r>
      <w:r>
        <w:rPr>
          <w:rFonts w:ascii="Times" w:hAnsi="Times" w:eastAsia="Batang"/>
          <w:sz w:val="20"/>
          <w:szCs w:val="20"/>
        </w:rPr>
        <w:t>, the expected DL-AoD/ZoD value and uncertainty (of the expected DL-AoD/ZoD value) range(s)</w:t>
      </w:r>
      <w:r>
        <w:rPr>
          <w:rFonts w:hint="eastAsia" w:ascii="Times" w:hAnsi="Times" w:eastAsia="宋体"/>
          <w:sz w:val="20"/>
          <w:szCs w:val="20"/>
        </w:rPr>
        <w:t>can be provided to UE</w:t>
      </w:r>
      <w:r>
        <w:rPr>
          <w:rFonts w:ascii="Times" w:hAnsi="Times" w:eastAsia="Batang"/>
          <w:sz w:val="20"/>
          <w:szCs w:val="20"/>
        </w:rPr>
        <w:t xml:space="preserve">, which means UE is not necessary to measure reference signals outside the </w:t>
      </w:r>
      <w:r>
        <w:rPr>
          <w:rFonts w:ascii="Times New Roman" w:hAnsi="Times New Roman" w:eastAsia="等线"/>
          <w:bCs/>
          <w:sz w:val="20"/>
          <w:szCs w:val="20"/>
          <w:lang w:bidi="ar"/>
        </w:rPr>
        <w:t xml:space="preserve">expected </w:t>
      </w:r>
      <w:r>
        <w:rPr>
          <w:rFonts w:ascii="Times" w:hAnsi="Times" w:eastAsia="宋体"/>
          <w:sz w:val="20"/>
          <w:szCs w:val="20"/>
        </w:rPr>
        <w:t>uncertainty window</w:t>
      </w:r>
      <w:r>
        <w:rPr>
          <w:rFonts w:ascii="Times" w:hAnsi="Times" w:eastAsia="Batang"/>
          <w:sz w:val="20"/>
          <w:szCs w:val="20"/>
        </w:rPr>
        <w:t xml:space="preserve">. Therefore, </w:t>
      </w:r>
      <w:r>
        <w:rPr>
          <w:rFonts w:ascii="Times" w:hAnsi="Times" w:eastAsia="宋体"/>
          <w:sz w:val="20"/>
          <w:szCs w:val="20"/>
        </w:rPr>
        <w:t>angle and gain table</w:t>
      </w:r>
      <w:r>
        <w:rPr>
          <w:rFonts w:ascii="Times" w:hAnsi="Times" w:eastAsia="Batang"/>
          <w:sz w:val="20"/>
          <w:szCs w:val="20"/>
        </w:rPr>
        <w:t xml:space="preserve"> for DL PRS resource</w:t>
      </w:r>
      <w:r>
        <w:rPr>
          <w:rFonts w:ascii="Times" w:hAnsi="Times" w:eastAsia="宋体"/>
          <w:sz w:val="20"/>
          <w:szCs w:val="20"/>
        </w:rPr>
        <w:t xml:space="preserve">s </w:t>
      </w:r>
      <w:r>
        <w:rPr>
          <w:rFonts w:ascii="Times" w:hAnsi="Times" w:eastAsia="Batang"/>
          <w:sz w:val="20"/>
          <w:szCs w:val="20"/>
        </w:rPr>
        <w:t xml:space="preserve">can also be restricted to the </w:t>
      </w:r>
      <w:r>
        <w:rPr>
          <w:rFonts w:ascii="Times New Roman" w:hAnsi="Times New Roman" w:eastAsia="等线"/>
          <w:bCs/>
          <w:sz w:val="20"/>
          <w:szCs w:val="20"/>
          <w:lang w:bidi="ar"/>
        </w:rPr>
        <w:t xml:space="preserve">expected </w:t>
      </w:r>
      <w:r>
        <w:rPr>
          <w:rFonts w:ascii="Times" w:hAnsi="Times" w:eastAsia="宋体"/>
          <w:sz w:val="20"/>
          <w:szCs w:val="20"/>
        </w:rPr>
        <w:t>uncertainty window</w:t>
      </w:r>
      <w:r>
        <w:rPr>
          <w:rFonts w:ascii="Times" w:hAnsi="Times" w:eastAsia="Batang"/>
          <w:sz w:val="20"/>
          <w:szCs w:val="20"/>
        </w:rPr>
        <w:t xml:space="preserve"> provided by the expected DL-AoD/ZoD value and uncertainty (of the expected DL-AoD/ZoD value) range(s), which will significantly reduce </w:t>
      </w:r>
      <w:r>
        <w:rPr>
          <w:rFonts w:ascii="Times" w:hAnsi="Times" w:eastAsia="宋体"/>
          <w:sz w:val="20"/>
          <w:szCs w:val="20"/>
        </w:rPr>
        <w:t xml:space="preserve">the </w:t>
      </w:r>
      <w:r>
        <w:rPr>
          <w:rFonts w:ascii="Times" w:hAnsi="Times" w:eastAsia="Batang"/>
          <w:sz w:val="20"/>
          <w:szCs w:val="20"/>
        </w:rPr>
        <w:t xml:space="preserve">overhead. </w:t>
      </w:r>
    </w:p>
    <w:p>
      <w:pPr>
        <w:snapToGrid w:val="0"/>
        <w:spacing w:before="180" w:beforeLines="50" w:after="180" w:afterLines="50" w:line="240" w:lineRule="auto"/>
        <w:jc w:val="both"/>
        <w:rPr>
          <w:rFonts w:ascii="Times New Roman" w:hAnsi="Times New Roman" w:eastAsia="宋体"/>
          <w:i/>
          <w:sz w:val="20"/>
          <w:szCs w:val="20"/>
        </w:rPr>
      </w:pPr>
      <w:r>
        <w:rPr>
          <w:rFonts w:ascii="Times New Roman" w:hAnsi="Times New Roman" w:eastAsia="Batang"/>
          <w:b/>
          <w:bCs/>
          <w:i/>
          <w:sz w:val="20"/>
          <w:szCs w:val="20"/>
        </w:rPr>
        <w:t xml:space="preserve">Proposal </w:t>
      </w:r>
      <w:r>
        <w:rPr>
          <w:rFonts w:hint="eastAsia" w:ascii="Times New Roman" w:hAnsi="Times New Roman" w:eastAsia="宋体"/>
          <w:b/>
          <w:bCs/>
          <w:i/>
          <w:sz w:val="20"/>
          <w:szCs w:val="20"/>
        </w:rPr>
        <w:t>3</w:t>
      </w:r>
      <w:r>
        <w:rPr>
          <w:rFonts w:ascii="Times New Roman" w:hAnsi="Times New Roman" w:eastAsia="Batang"/>
          <w:i/>
          <w:sz w:val="20"/>
          <w:szCs w:val="20"/>
        </w:rPr>
        <w:t xml:space="preserve">: </w:t>
      </w:r>
      <w:r>
        <w:rPr>
          <w:rFonts w:ascii="Times New Roman" w:hAnsi="Times New Roman" w:eastAsia="宋体"/>
          <w:i/>
          <w:sz w:val="20"/>
          <w:szCs w:val="20"/>
        </w:rPr>
        <w:t xml:space="preserve">For beam information provided by LMF </w:t>
      </w:r>
      <w:r>
        <w:rPr>
          <w:rFonts w:hint="eastAsia" w:ascii="Times New Roman" w:hAnsi="Times New Roman" w:eastAsia="宋体"/>
          <w:i/>
          <w:sz w:val="20"/>
          <w:szCs w:val="20"/>
        </w:rPr>
        <w:t>for UE based DL-AOD, the r</w:t>
      </w:r>
      <w:r>
        <w:rPr>
          <w:rFonts w:ascii="Times New Roman" w:hAnsi="Times New Roman" w:eastAsia="Batang"/>
          <w:i/>
          <w:sz w:val="20"/>
          <w:szCs w:val="20"/>
          <w:lang w:eastAsia="ko-KR"/>
        </w:rPr>
        <w:t xml:space="preserve">ange of angles [θ1, θ2] </w:t>
      </w:r>
      <w:r>
        <w:rPr>
          <w:rFonts w:ascii="Times New Roman" w:hAnsi="Times New Roman" w:eastAsia="宋体"/>
          <w:i/>
          <w:sz w:val="20"/>
          <w:szCs w:val="20"/>
        </w:rPr>
        <w:t xml:space="preserve">can be </w:t>
      </w:r>
      <w:r>
        <w:rPr>
          <w:rFonts w:hint="eastAsia" w:ascii="Times New Roman" w:hAnsi="Times New Roman" w:eastAsia="宋体"/>
          <w:i/>
          <w:sz w:val="20"/>
          <w:szCs w:val="20"/>
        </w:rPr>
        <w:t>determined by expected DL-AoD/ZoD value and uncertainty (of the expected DL-AoD/ZoD value).</w:t>
      </w:r>
    </w:p>
    <w:p>
      <w:pPr>
        <w:pStyle w:val="2"/>
        <w:rPr>
          <w:lang w:val="en-US"/>
        </w:rPr>
      </w:pPr>
      <w:r>
        <w:rPr>
          <w:rFonts w:hint="eastAsia"/>
          <w:lang w:val="en-US"/>
        </w:rPr>
        <w:t>DL PRS Rx beam index</w:t>
      </w:r>
      <w:r>
        <w:rPr>
          <w:lang w:val="en-US"/>
        </w:rPr>
        <w:t xml:space="preserve"> </w:t>
      </w:r>
    </w:p>
    <w:p>
      <w:pPr>
        <w:snapToGrid w:val="0"/>
        <w:spacing w:before="180" w:beforeLines="50" w:after="180" w:afterLines="50" w:line="240" w:lineRule="auto"/>
        <w:jc w:val="both"/>
        <w:rPr>
          <w:rFonts w:ascii="Times" w:hAnsi="Times" w:eastAsia="宋体"/>
          <w:iCs/>
          <w:sz w:val="20"/>
          <w:szCs w:val="20"/>
        </w:rPr>
      </w:pPr>
      <w:r>
        <w:rPr>
          <w:rFonts w:hint="eastAsia" w:ascii="Times" w:hAnsi="Times" w:eastAsia="Batang"/>
          <w:iCs/>
          <w:sz w:val="20"/>
          <w:szCs w:val="20"/>
        </w:rPr>
        <w:t>In current NR DL-AoD positioning method, when the UE reports DL PRS-RSRP measurements from one DL PRS resource set, the UE may indicate which DL PRS-RSRP measurement</w:t>
      </w:r>
      <w:r>
        <w:rPr>
          <w:rFonts w:hint="eastAsia" w:ascii="Times" w:hAnsi="Times" w:eastAsia="宋体"/>
          <w:iCs/>
          <w:sz w:val="20"/>
          <w:szCs w:val="20"/>
        </w:rPr>
        <w:t>s</w:t>
      </w:r>
      <w:r>
        <w:rPr>
          <w:rFonts w:hint="eastAsia" w:ascii="Times" w:hAnsi="Times" w:eastAsia="Batang"/>
          <w:iCs/>
          <w:sz w:val="20"/>
          <w:szCs w:val="20"/>
        </w:rPr>
        <w:t xml:space="preserve"> associated with the same DL PRS Rx beam index have been performed using the same spatial domain filter for reception. </w:t>
      </w:r>
      <w:r>
        <w:rPr>
          <w:rFonts w:hint="eastAsia" w:ascii="Times" w:hAnsi="Times" w:eastAsia="宋体"/>
          <w:iCs/>
          <w:sz w:val="20"/>
          <w:szCs w:val="20"/>
        </w:rPr>
        <w:t>However, as cited texts from TS 38.214 in the following table, t</w:t>
      </w:r>
      <w:r>
        <w:rPr>
          <w:rFonts w:hint="eastAsia" w:ascii="Times" w:hAnsi="Times" w:eastAsia="Batang"/>
          <w:iCs/>
          <w:sz w:val="20"/>
          <w:szCs w:val="20"/>
        </w:rPr>
        <w:t>his mechanism only restricts to DL PRS-RSRP measurements from the same DL PRS resource set</w:t>
      </w:r>
      <w:r>
        <w:rPr>
          <w:rFonts w:hint="eastAsia" w:ascii="Times" w:hAnsi="Times" w:eastAsia="宋体"/>
          <w:iCs/>
          <w:sz w:val="20"/>
          <w:szCs w:val="20"/>
        </w:rPr>
        <w:t xml:space="preserve">. For example, </w:t>
      </w:r>
      <w:r>
        <w:rPr>
          <w:rFonts w:hint="eastAsia" w:ascii="Times" w:hAnsi="Times" w:eastAsia="Batang"/>
          <w:iCs/>
          <w:sz w:val="20"/>
          <w:szCs w:val="20"/>
        </w:rPr>
        <w:t>LMF</w:t>
      </w:r>
      <w:r>
        <w:rPr>
          <w:rFonts w:hint="eastAsia" w:ascii="Times" w:hAnsi="Times" w:eastAsia="宋体"/>
          <w:iCs/>
          <w:sz w:val="20"/>
          <w:szCs w:val="20"/>
        </w:rPr>
        <w:t xml:space="preserve"> </w:t>
      </w:r>
      <w:r>
        <w:rPr>
          <w:rFonts w:hint="eastAsia" w:ascii="Times" w:hAnsi="Times" w:eastAsia="Batang"/>
          <w:iCs/>
          <w:sz w:val="20"/>
          <w:szCs w:val="20"/>
        </w:rPr>
        <w:t xml:space="preserve">would not understand </w:t>
      </w:r>
      <w:r>
        <w:rPr>
          <w:rFonts w:hint="eastAsia" w:ascii="Times" w:hAnsi="Times" w:eastAsia="宋体"/>
          <w:iCs/>
          <w:sz w:val="20"/>
          <w:szCs w:val="20"/>
        </w:rPr>
        <w:t>how to interpret the case</w:t>
      </w:r>
      <w:r>
        <w:rPr>
          <w:rFonts w:hint="eastAsia" w:ascii="Times" w:hAnsi="Times" w:eastAsia="Batang"/>
          <w:iCs/>
          <w:sz w:val="20"/>
          <w:szCs w:val="20"/>
        </w:rPr>
        <w:t xml:space="preserve"> when two DL PRS-RSRP measurements associated with the same DL PRS Rx beam index </w:t>
      </w:r>
      <w:r>
        <w:rPr>
          <w:rFonts w:hint="eastAsia" w:ascii="Times" w:hAnsi="Times" w:eastAsia="宋体"/>
          <w:iCs/>
          <w:sz w:val="20"/>
          <w:szCs w:val="20"/>
        </w:rPr>
        <w:t>are</w:t>
      </w:r>
      <w:r>
        <w:rPr>
          <w:rFonts w:hint="eastAsia" w:ascii="Times" w:hAnsi="Times" w:eastAsia="Batang"/>
          <w:iCs/>
          <w:sz w:val="20"/>
          <w:szCs w:val="20"/>
        </w:rPr>
        <w:t xml:space="preserve"> derived from different DL PRS resource sets. </w:t>
      </w:r>
      <w:r>
        <w:rPr>
          <w:rFonts w:hint="eastAsia" w:ascii="Times" w:hAnsi="Times" w:eastAsia="宋体"/>
          <w:iCs/>
          <w:sz w:val="20"/>
          <w:szCs w:val="20"/>
        </w:rPr>
        <w:t>In this case, LMF can</w:t>
      </w:r>
      <w:r>
        <w:rPr>
          <w:rFonts w:ascii="Times" w:hAnsi="Times" w:eastAsia="宋体"/>
          <w:iCs/>
          <w:sz w:val="20"/>
          <w:szCs w:val="20"/>
        </w:rPr>
        <w:t>’</w:t>
      </w:r>
      <w:r>
        <w:rPr>
          <w:rFonts w:hint="eastAsia" w:ascii="Times" w:hAnsi="Times" w:eastAsia="宋体"/>
          <w:iCs/>
          <w:sz w:val="20"/>
          <w:szCs w:val="20"/>
        </w:rPr>
        <w:t>t assume that the two DL PRS-RSRP measurements are associated with the same</w:t>
      </w:r>
      <w:r>
        <w:rPr>
          <w:rFonts w:hint="eastAsia" w:ascii="Times" w:hAnsi="Times" w:eastAsia="Batang"/>
          <w:iCs/>
          <w:sz w:val="20"/>
          <w:szCs w:val="20"/>
        </w:rPr>
        <w:t xml:space="preserve"> spatial domain filter </w:t>
      </w:r>
      <w:r>
        <w:rPr>
          <w:rFonts w:hint="eastAsia" w:ascii="Times" w:hAnsi="Times" w:eastAsia="宋体"/>
          <w:iCs/>
          <w:sz w:val="20"/>
          <w:szCs w:val="20"/>
        </w:rPr>
        <w:t>for receiving corresponding DL PRS resources.</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180" w:beforeLines="50" w:after="180" w:afterLines="50" w:line="240" w:lineRule="auto"/>
              <w:jc w:val="both"/>
              <w:rPr>
                <w:rFonts w:ascii="Times" w:hAnsi="Times" w:eastAsia="宋体"/>
                <w:b/>
                <w:bCs/>
                <w:iCs/>
                <w:sz w:val="20"/>
                <w:szCs w:val="20"/>
                <w:u w:val="single"/>
              </w:rPr>
            </w:pPr>
            <w:r>
              <w:rPr>
                <w:rFonts w:hint="eastAsia" w:ascii="Times" w:hAnsi="Times" w:eastAsia="宋体"/>
                <w:b/>
                <w:bCs/>
                <w:iCs/>
                <w:sz w:val="20"/>
                <w:szCs w:val="20"/>
                <w:u w:val="single"/>
              </w:rPr>
              <w:t>Clause 5.1.6.5 of TS 38.214:</w:t>
            </w:r>
          </w:p>
          <w:p>
            <w:pPr>
              <w:snapToGrid w:val="0"/>
              <w:spacing w:before="180" w:beforeLines="50" w:after="180" w:afterLines="50" w:line="240" w:lineRule="auto"/>
              <w:jc w:val="both"/>
              <w:rPr>
                <w:sz w:val="28"/>
              </w:rPr>
            </w:pPr>
            <w:r>
              <w:rPr>
                <w:rFonts w:hint="eastAsia" w:ascii="Times" w:hAnsi="Times" w:eastAsia="Batang"/>
                <w:iCs/>
                <w:sz w:val="20"/>
                <w:szCs w:val="20"/>
              </w:rPr>
              <w:t xml:space="preserve">The UE may be configured to measure and report, subject to UE capability, up to 8 DL PRS-RSRP measurements on different DL PRS resources associated with the same dl-PRS-ID. When the UE reports DL PRS-RSRP measurements from </w:t>
            </w:r>
            <w:r>
              <w:rPr>
                <w:rFonts w:hint="eastAsia" w:ascii="Times" w:hAnsi="Times" w:eastAsia="Batang"/>
                <w:b/>
                <w:bCs/>
                <w:iCs/>
                <w:sz w:val="20"/>
                <w:szCs w:val="20"/>
              </w:rPr>
              <w:t>one DL PRS resource set</w:t>
            </w:r>
            <w:r>
              <w:rPr>
                <w:rFonts w:hint="eastAsia" w:ascii="Times" w:hAnsi="Times" w:eastAsia="Batang"/>
                <w:iCs/>
                <w:sz w:val="20"/>
                <w:szCs w:val="20"/>
              </w:rPr>
              <w:t>, the UE may indicate which DL PRS-RSRP measurements associated with the same higher layer parameter nr-DL-PRS-RxBeamIndex  [17, TS 37.355] have been performed using the same spatial domain filter for reception if for each nr-DL-PRS-RxBeamIndex reported there are at least 2 DL PRS-RSRP measurements associated with it within the DL PRS resource set.</w:t>
            </w:r>
          </w:p>
        </w:tc>
      </w:tr>
    </w:tbl>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Observation </w:t>
      </w:r>
      <w:r>
        <w:rPr>
          <w:rFonts w:hint="eastAsia" w:ascii="Times" w:hAnsi="Times" w:eastAsia="宋体"/>
          <w:b/>
          <w:bCs/>
          <w:i/>
          <w:sz w:val="20"/>
          <w:szCs w:val="20"/>
        </w:rPr>
        <w:t>3</w:t>
      </w:r>
      <w:r>
        <w:rPr>
          <w:rFonts w:hint="eastAsia" w:ascii="Times" w:hAnsi="Times" w:eastAsia="Batang"/>
          <w:i/>
          <w:sz w:val="20"/>
          <w:szCs w:val="20"/>
        </w:rPr>
        <w:t>: According to the DL PRS Rx beam index mechanism defined in Rel-16, LMF would not understand how to interpret the case when two DL PRS-RSRP measurements associated with the same DL PRS Rx beam index are derived from different DL PRS resource sets.</w:t>
      </w:r>
    </w:p>
    <w:p>
      <w:pPr>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034665" cy="2628265"/>
            <wp:effectExtent l="0" t="0" r="0" b="63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9"/>
                    <a:stretch>
                      <a:fillRect/>
                    </a:stretch>
                  </pic:blipFill>
                  <pic:spPr>
                    <a:xfrm>
                      <a:off x="0" y="0"/>
                      <a:ext cx="3034665" cy="2628265"/>
                    </a:xfrm>
                    <a:prstGeom prst="rect">
                      <a:avLst/>
                    </a:prstGeom>
                  </pic:spPr>
                </pic:pic>
              </a:graphicData>
            </a:graphic>
          </wp:inline>
        </w:drawing>
      </w:r>
    </w:p>
    <w:p>
      <w:pPr>
        <w:spacing w:before="180" w:beforeLines="50" w:after="180" w:afterLines="50" w:line="240" w:lineRule="auto"/>
        <w:jc w:val="center"/>
        <w:rPr>
          <w:rFonts w:ascii="Times" w:hAnsi="Times" w:eastAsia="Batang"/>
          <w:i/>
          <w:sz w:val="20"/>
          <w:szCs w:val="20"/>
        </w:rPr>
      </w:pPr>
      <w:r>
        <w:rPr>
          <w:rFonts w:hint="eastAsia" w:ascii="Times New Roman" w:hAnsi="Times New Roman"/>
          <w:sz w:val="20"/>
          <w:szCs w:val="20"/>
        </w:rPr>
        <w:t>FIG.2 An example of transmitting and receiving DL PRS</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 xml:space="preserve">As shown in the </w:t>
      </w:r>
      <w:r>
        <w:rPr>
          <w:rFonts w:hint="eastAsia" w:ascii="Times" w:hAnsi="Times" w:eastAsia="宋体"/>
          <w:iCs/>
          <w:sz w:val="20"/>
          <w:szCs w:val="20"/>
        </w:rPr>
        <w:t>FIG.2</w:t>
      </w:r>
      <w:r>
        <w:rPr>
          <w:rFonts w:hint="eastAsia" w:ascii="Times" w:hAnsi="Times" w:eastAsia="Batang"/>
          <w:iCs/>
          <w:sz w:val="20"/>
          <w:szCs w:val="20"/>
        </w:rPr>
        <w:t>, two DL PRS resource sets transmitted from the same TRP of the same positioning frequency layer can be implemented to jointly estimate DL-AOD, so it</w:t>
      </w:r>
      <w:r>
        <w:rPr>
          <w:rFonts w:ascii="Times" w:hAnsi="Times" w:eastAsia="Batang"/>
          <w:iCs/>
          <w:sz w:val="20"/>
          <w:szCs w:val="20"/>
        </w:rPr>
        <w:t>’</w:t>
      </w:r>
      <w:r>
        <w:rPr>
          <w:rFonts w:hint="eastAsia" w:ascii="Times" w:hAnsi="Times" w:eastAsia="Batang"/>
          <w:iCs/>
          <w:sz w:val="20"/>
          <w:szCs w:val="20"/>
        </w:rPr>
        <w:t>s possible that two DL PRS resources from different DL PRS resource sets are received by the same spatial domain filter (i.e. the same DL PRS Rx beam index). With this information being reported to LMF, LMF can determine that whether the two different DL PRS-RSRP measurements associated with the two DL PRS resources are due to different TRP transmission beams or different UE Rx beams when conducting angle calculation.</w:t>
      </w:r>
    </w:p>
    <w:p>
      <w:pPr>
        <w:snapToGrid w:val="0"/>
        <w:spacing w:before="180" w:beforeLines="50" w:after="180" w:afterLines="50" w:line="240" w:lineRule="auto"/>
        <w:jc w:val="both"/>
        <w:rPr>
          <w:rFonts w:ascii="Times" w:hAnsi="Times" w:eastAsia="Batang"/>
          <w:iCs/>
          <w:sz w:val="20"/>
          <w:szCs w:val="20"/>
        </w:rPr>
      </w:pPr>
      <w:r>
        <w:rPr>
          <w:rFonts w:hint="eastAsia" w:ascii="Times" w:hAnsi="Times" w:eastAsia="Batang"/>
          <w:iCs/>
          <w:sz w:val="20"/>
          <w:szCs w:val="20"/>
        </w:rPr>
        <w:t xml:space="preserve">Furthermore, in Rel-16, UE can support receiving at most 4 positioning frequency layers per TRP. Normally, DL PRS transmitted from different positioning frequency layers may experience different channel impairments. </w:t>
      </w:r>
      <w:r>
        <w:rPr>
          <w:rFonts w:ascii="Times" w:hAnsi="Times" w:eastAsia="Batang"/>
          <w:iCs/>
          <w:sz w:val="20"/>
          <w:szCs w:val="20"/>
        </w:rPr>
        <w:t>Hence</w:t>
      </w:r>
      <w:r>
        <w:rPr>
          <w:rFonts w:hint="eastAsia" w:ascii="Times" w:hAnsi="Times" w:eastAsia="Batang"/>
          <w:iCs/>
          <w:sz w:val="20"/>
          <w:szCs w:val="20"/>
        </w:rPr>
        <w:t xml:space="preserve"> it</w:t>
      </w:r>
      <w:r>
        <w:rPr>
          <w:rFonts w:ascii="Times" w:hAnsi="Times" w:eastAsia="Batang"/>
          <w:iCs/>
          <w:sz w:val="20"/>
          <w:szCs w:val="20"/>
        </w:rPr>
        <w:t>’</w:t>
      </w:r>
      <w:r>
        <w:rPr>
          <w:rFonts w:hint="eastAsia" w:ascii="Times" w:hAnsi="Times" w:eastAsia="Batang"/>
          <w:iCs/>
          <w:sz w:val="20"/>
          <w:szCs w:val="20"/>
        </w:rPr>
        <w:t xml:space="preserve">s better that Rx beam sweeping and Tx beam sweeping are conducted independently for different positioning frequency layers. However, it could be also possible that the two DL PRS resource sets in </w:t>
      </w:r>
      <w:r>
        <w:rPr>
          <w:rFonts w:hint="eastAsia" w:ascii="Times" w:hAnsi="Times" w:eastAsia="宋体"/>
          <w:iCs/>
          <w:sz w:val="20"/>
          <w:szCs w:val="20"/>
        </w:rPr>
        <w:t>FIG.1</w:t>
      </w:r>
      <w:r>
        <w:rPr>
          <w:rFonts w:hint="eastAsia" w:ascii="Times" w:hAnsi="Times" w:eastAsia="Batang"/>
          <w:iCs/>
          <w:sz w:val="20"/>
          <w:szCs w:val="20"/>
        </w:rPr>
        <w:t xml:space="preserve"> are from two different positioning frequency layers, where the different positioning frequency layers are within the same frequency band and thus share similar channel impairments. </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Proposal </w:t>
      </w:r>
      <w:r>
        <w:rPr>
          <w:rFonts w:hint="eastAsia" w:ascii="Times" w:hAnsi="Times" w:eastAsia="宋体"/>
          <w:b/>
          <w:bCs/>
          <w:i/>
          <w:sz w:val="20"/>
          <w:szCs w:val="20"/>
        </w:rPr>
        <w:t>4</w:t>
      </w:r>
      <w:r>
        <w:rPr>
          <w:rFonts w:hint="eastAsia" w:ascii="Times" w:hAnsi="Times" w:eastAsia="Batang"/>
          <w:i/>
          <w:sz w:val="20"/>
          <w:szCs w:val="20"/>
        </w:rPr>
        <w:t xml:space="preserve">: </w:t>
      </w:r>
      <w:r>
        <w:rPr>
          <w:rFonts w:hint="eastAsia" w:ascii="Times" w:hAnsi="Times" w:eastAsia="宋体"/>
          <w:i/>
          <w:sz w:val="20"/>
          <w:szCs w:val="20"/>
        </w:rPr>
        <w:t>W</w:t>
      </w:r>
      <w:r>
        <w:rPr>
          <w:rFonts w:hint="eastAsia" w:ascii="Times" w:hAnsi="Times" w:eastAsia="Batang"/>
          <w:i/>
          <w:sz w:val="20"/>
          <w:szCs w:val="20"/>
        </w:rPr>
        <w:t xml:space="preserve">hen the UE reports DL PRS-RSRP measurements from DL PRS resource sets associated with the same positioning frequency layer and the same TRP, </w:t>
      </w:r>
      <w:r>
        <w:rPr>
          <w:rFonts w:hint="eastAsia" w:ascii="Times" w:hAnsi="Times" w:eastAsia="宋体"/>
          <w:i/>
          <w:sz w:val="20"/>
          <w:szCs w:val="20"/>
        </w:rPr>
        <w:t xml:space="preserve">the </w:t>
      </w:r>
      <w:r>
        <w:rPr>
          <w:rFonts w:hint="eastAsia" w:ascii="Times" w:hAnsi="Times" w:eastAsia="Batang"/>
          <w:i/>
          <w:sz w:val="20"/>
          <w:szCs w:val="20"/>
        </w:rPr>
        <w:t xml:space="preserve">DL PRS-RSRP measurements associated with the same DL PRS Rx beam index have been performed using the same spatial domain filter for reception. </w:t>
      </w:r>
    </w:p>
    <w:p>
      <w:pPr>
        <w:pStyle w:val="2"/>
        <w:snapToGrid w:val="0"/>
        <w:spacing w:before="180" w:beforeLines="50" w:after="180" w:afterLines="50"/>
        <w:ind w:left="431" w:hanging="431"/>
        <w:rPr>
          <w:sz w:val="28"/>
          <w:lang w:val="en-US"/>
        </w:rPr>
      </w:pPr>
      <w:r>
        <w:rPr>
          <w:sz w:val="28"/>
          <w:lang w:val="en-US"/>
        </w:rPr>
        <w:t>Conclusions</w:t>
      </w:r>
    </w:p>
    <w:p>
      <w:pPr>
        <w:adjustRightInd w:val="0"/>
        <w:snapToGrid w:val="0"/>
        <w:spacing w:before="180" w:beforeLines="50" w:after="180" w:afterLines="50" w:line="240" w:lineRule="auto"/>
        <w:jc w:val="both"/>
        <w:rPr>
          <w:rFonts w:ascii="Times New Roman" w:hAnsi="Times New Roman"/>
          <w:sz w:val="20"/>
          <w:szCs w:val="20"/>
        </w:rPr>
      </w:pPr>
      <w:bookmarkStart w:id="7" w:name="OLE_LINK11"/>
      <w:bookmarkStart w:id="8" w:name="OLE_LINK10"/>
      <w:r>
        <w:rPr>
          <w:rFonts w:ascii="Times New Roman" w:hAnsi="Times New Roman"/>
          <w:sz w:val="20"/>
          <w:szCs w:val="20"/>
          <w:lang w:val="en-GB"/>
        </w:rPr>
        <w:t xml:space="preserve">In this contribution, we </w:t>
      </w:r>
      <w:r>
        <w:rPr>
          <w:rFonts w:hint="eastAsia" w:ascii="Times New Roman" w:hAnsi="Times New Roman"/>
          <w:sz w:val="20"/>
          <w:szCs w:val="20"/>
          <w:lang w:val="en-GB"/>
        </w:rPr>
        <w:t>provide</w:t>
      </w:r>
      <w:r>
        <w:rPr>
          <w:rFonts w:ascii="Times New Roman" w:hAnsi="Times New Roman"/>
          <w:sz w:val="20"/>
          <w:szCs w:val="20"/>
          <w:lang w:val="en-GB"/>
        </w:rPr>
        <w:t xml:space="preserve"> </w:t>
      </w:r>
      <w:r>
        <w:rPr>
          <w:rFonts w:hint="eastAsia" w:ascii="Times New Roman" w:hAnsi="Times New Roman"/>
          <w:sz w:val="20"/>
          <w:szCs w:val="20"/>
        </w:rPr>
        <w:t>our views to increase positioning accuracy for DL-AOD</w:t>
      </w:r>
      <w:r>
        <w:rPr>
          <w:rFonts w:ascii="Times New Roman" w:hAnsi="Times New Roman"/>
          <w:sz w:val="20"/>
          <w:szCs w:val="20"/>
        </w:rPr>
        <w:t>, the following observations and proposals are proposed,</w:t>
      </w:r>
    </w:p>
    <w:p>
      <w:pPr>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Proposal 1: </w:t>
      </w:r>
      <w:r>
        <w:rPr>
          <w:rFonts w:hint="eastAsia" w:ascii="Times New Roman" w:hAnsi="Times New Roman"/>
          <w:i/>
          <w:iCs/>
          <w:sz w:val="20"/>
          <w:szCs w:val="20"/>
        </w:rPr>
        <w:t>The path PRS RSRP of a DL PRS resource is reported relative to the corresponding DL PRS-RSRP at least for first detected path.</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Observation 1:</w:t>
      </w:r>
      <w:r>
        <w:rPr>
          <w:rFonts w:ascii="Times New Roman" w:hAnsi="Times New Roman"/>
          <w:sz w:val="20"/>
          <w:szCs w:val="20"/>
        </w:rPr>
        <w:t xml:space="preserve"> </w:t>
      </w:r>
      <w:r>
        <w:rPr>
          <w:rFonts w:ascii="Times New Roman" w:hAnsi="Times New Roman"/>
          <w:i/>
          <w:iCs/>
          <w:sz w:val="20"/>
          <w:szCs w:val="20"/>
        </w:rPr>
        <w:t xml:space="preserve">For a DL-AOD measurement report, due to ALOS problem, the largest </w:t>
      </w:r>
      <w:r>
        <w:rPr>
          <w:rFonts w:hint="eastAsia" w:ascii="Times New Roman" w:hAnsi="Times New Roman"/>
          <w:i/>
          <w:iCs/>
          <w:sz w:val="20"/>
          <w:szCs w:val="20"/>
        </w:rPr>
        <w:t xml:space="preserve">first path PRS </w:t>
      </w:r>
      <w:r>
        <w:rPr>
          <w:rFonts w:ascii="Times New Roman" w:hAnsi="Times New Roman"/>
          <w:i/>
          <w:iCs/>
          <w:sz w:val="20"/>
          <w:szCs w:val="20"/>
        </w:rPr>
        <w:t>RSRP may not correspond to the line-of-sight direction.</w:t>
      </w:r>
    </w:p>
    <w:p>
      <w:p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b/>
          <w:bCs/>
          <w:i/>
          <w:iCs/>
          <w:sz w:val="20"/>
          <w:szCs w:val="20"/>
        </w:rPr>
        <w:t xml:space="preserve">Observation 2: </w:t>
      </w:r>
      <w:r>
        <w:rPr>
          <w:rFonts w:hint="eastAsia" w:ascii="Times New Roman" w:hAnsi="Times New Roman"/>
          <w:i/>
          <w:iCs/>
          <w:sz w:val="20"/>
          <w:szCs w:val="20"/>
        </w:rPr>
        <w:t>The timing information in DL-AOD measurement report can bring the following benefits,</w:t>
      </w:r>
    </w:p>
    <w:p>
      <w:pPr>
        <w:numPr>
          <w:ilvl w:val="0"/>
          <w:numId w:val="3"/>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Network may utilize time of arrival (TOA) to locate the UE coarsely;</w:t>
      </w:r>
    </w:p>
    <w:p>
      <w:pPr>
        <w:numPr>
          <w:ilvl w:val="0"/>
          <w:numId w:val="3"/>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It can provide additional information for single base station based positioning, i.e. the time difference between different reference signals may determine a virtual base station;</w:t>
      </w:r>
    </w:p>
    <w:p>
      <w:pPr>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
          <w:iCs/>
          <w:sz w:val="20"/>
          <w:szCs w:val="20"/>
        </w:rPr>
        <w:t>LMF can believe that the power differences between first path PRS RSRPs are caused by the power differences between beam gains on a specific angle.</w:t>
      </w:r>
    </w:p>
    <w:p>
      <w:pPr>
        <w:snapToGrid w:val="0"/>
        <w:spacing w:before="180" w:beforeLines="50" w:after="180" w:afterLines="50" w:line="240" w:lineRule="auto"/>
        <w:jc w:val="both"/>
        <w:rPr>
          <w:rFonts w:ascii="Times New Roman" w:hAnsi="Times New Roman"/>
          <w:i/>
          <w:iCs/>
          <w:sz w:val="20"/>
          <w:szCs w:val="20"/>
        </w:rPr>
      </w:pPr>
      <w:r>
        <w:rPr>
          <w:rFonts w:ascii="Times New Roman" w:hAnsi="Times New Roman"/>
          <w:b/>
          <w:bCs/>
          <w:i/>
          <w:iCs/>
          <w:sz w:val="20"/>
          <w:szCs w:val="20"/>
        </w:rPr>
        <w:t xml:space="preserve">Proposal </w:t>
      </w:r>
      <w:r>
        <w:rPr>
          <w:rFonts w:hint="eastAsia" w:ascii="Times New Roman" w:hAnsi="Times New Roman"/>
          <w:b/>
          <w:bCs/>
          <w:i/>
          <w:iCs/>
          <w:sz w:val="20"/>
          <w:szCs w:val="20"/>
        </w:rPr>
        <w:t>2</w:t>
      </w:r>
      <w:r>
        <w:rPr>
          <w:rFonts w:ascii="Times New Roman" w:hAnsi="Times New Roman"/>
          <w:b/>
          <w:bCs/>
          <w:i/>
          <w:iCs/>
          <w:sz w:val="20"/>
          <w:szCs w:val="20"/>
        </w:rPr>
        <w:t>:</w:t>
      </w:r>
      <w:r>
        <w:rPr>
          <w:rFonts w:ascii="Times New Roman" w:hAnsi="Times New Roman"/>
          <w:i/>
          <w:iCs/>
          <w:sz w:val="20"/>
          <w:szCs w:val="20"/>
        </w:rPr>
        <w:t xml:space="preserve"> In addition to </w:t>
      </w:r>
      <w:r>
        <w:rPr>
          <w:rFonts w:hint="eastAsia" w:ascii="Times New Roman" w:hAnsi="Times New Roman"/>
          <w:i/>
          <w:iCs/>
          <w:sz w:val="20"/>
          <w:szCs w:val="20"/>
        </w:rPr>
        <w:t xml:space="preserve">first path DL PRS </w:t>
      </w:r>
      <w:r>
        <w:rPr>
          <w:rFonts w:ascii="Times New Roman" w:hAnsi="Times New Roman"/>
          <w:i/>
          <w:iCs/>
          <w:sz w:val="20"/>
          <w:szCs w:val="20"/>
        </w:rPr>
        <w:t>RSRP measurement for UE-assisted DL-AOD, Rel-17 UE should be able to report information corresponds to the arrival time of the first path, which includes,</w:t>
      </w:r>
    </w:p>
    <w:p>
      <w:pPr>
        <w:numPr>
          <w:ilvl w:val="0"/>
          <w:numId w:val="3"/>
        </w:numPr>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i/>
          <w:iCs/>
          <w:sz w:val="20"/>
          <w:szCs w:val="20"/>
        </w:rPr>
        <w:t>Time</w:t>
      </w:r>
      <w:r>
        <w:rPr>
          <w:rFonts w:ascii="Times New Roman" w:hAnsi="Times New Roman"/>
          <w:i/>
          <w:iCs/>
          <w:sz w:val="20"/>
          <w:szCs w:val="20"/>
        </w:rPr>
        <w:t xml:space="preserve"> </w:t>
      </w:r>
      <w:r>
        <w:rPr>
          <w:rFonts w:hint="eastAsia" w:ascii="Times New Roman" w:hAnsi="Times New Roman"/>
          <w:i/>
          <w:iCs/>
          <w:sz w:val="20"/>
          <w:szCs w:val="20"/>
        </w:rPr>
        <w:t xml:space="preserve">of arrival( i.e. TOA) for </w:t>
      </w:r>
      <w:r>
        <w:rPr>
          <w:rFonts w:ascii="Times New Roman" w:hAnsi="Times New Roman"/>
          <w:i/>
          <w:iCs/>
          <w:sz w:val="20"/>
          <w:szCs w:val="20"/>
        </w:rPr>
        <w:t xml:space="preserve">at least one </w:t>
      </w:r>
      <w:r>
        <w:rPr>
          <w:rFonts w:hint="eastAsia" w:ascii="Times New Roman" w:hAnsi="Times New Roman"/>
          <w:i/>
          <w:iCs/>
          <w:sz w:val="20"/>
          <w:szCs w:val="20"/>
        </w:rPr>
        <w:t>DL PRS resource per TRP</w:t>
      </w:r>
    </w:p>
    <w:p>
      <w:pPr>
        <w:numPr>
          <w:ilvl w:val="0"/>
          <w:numId w:val="3"/>
        </w:numPr>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i/>
          <w:iCs/>
          <w:sz w:val="20"/>
          <w:szCs w:val="20"/>
        </w:rPr>
        <w:t>T</w:t>
      </w:r>
      <w:r>
        <w:rPr>
          <w:rFonts w:ascii="Times New Roman" w:hAnsi="Times New Roman"/>
          <w:i/>
          <w:iCs/>
          <w:sz w:val="20"/>
          <w:szCs w:val="20"/>
        </w:rPr>
        <w:t xml:space="preserve">ime differences </w:t>
      </w:r>
      <w:r>
        <w:rPr>
          <w:rFonts w:hint="eastAsia" w:ascii="Times New Roman" w:hAnsi="Times New Roman"/>
          <w:i/>
          <w:iCs/>
          <w:sz w:val="20"/>
          <w:szCs w:val="20"/>
        </w:rPr>
        <w:t xml:space="preserve">of first detected paths </w:t>
      </w:r>
      <w:r>
        <w:rPr>
          <w:rFonts w:ascii="Times New Roman" w:hAnsi="Times New Roman"/>
          <w:i/>
          <w:iCs/>
          <w:sz w:val="20"/>
          <w:szCs w:val="20"/>
        </w:rPr>
        <w:t xml:space="preserve">among </w:t>
      </w:r>
      <w:r>
        <w:rPr>
          <w:rFonts w:hint="eastAsia" w:ascii="Times New Roman" w:hAnsi="Times New Roman"/>
          <w:i/>
          <w:iCs/>
          <w:sz w:val="20"/>
          <w:szCs w:val="20"/>
        </w:rPr>
        <w:t>DL PRS resources</w:t>
      </w:r>
      <w:r>
        <w:rPr>
          <w:rFonts w:ascii="Times New Roman" w:hAnsi="Times New Roman"/>
          <w:i/>
          <w:iCs/>
          <w:sz w:val="20"/>
          <w:szCs w:val="20"/>
        </w:rPr>
        <w:t xml:space="preserve"> from the same TRP</w:t>
      </w:r>
      <w:r>
        <w:rPr>
          <w:rFonts w:hint="eastAsia" w:ascii="Times New Roman" w:hAnsi="Times New Roman"/>
          <w:i/>
          <w:iCs/>
          <w:sz w:val="20"/>
          <w:szCs w:val="20"/>
        </w:rPr>
        <w:t xml:space="preserve"> (i.e. Intra-TRP TDOA)</w:t>
      </w:r>
    </w:p>
    <w:p>
      <w:pPr>
        <w:snapToGrid w:val="0"/>
        <w:spacing w:before="180" w:beforeLines="50" w:after="180" w:afterLines="50" w:line="240" w:lineRule="auto"/>
        <w:jc w:val="both"/>
        <w:rPr>
          <w:rFonts w:ascii="Times New Roman" w:hAnsi="Times New Roman" w:eastAsia="宋体"/>
          <w:i/>
          <w:sz w:val="20"/>
          <w:szCs w:val="20"/>
        </w:rPr>
      </w:pPr>
      <w:r>
        <w:rPr>
          <w:rFonts w:ascii="Times New Roman" w:hAnsi="Times New Roman" w:eastAsia="Batang"/>
          <w:b/>
          <w:bCs/>
          <w:i/>
          <w:sz w:val="20"/>
          <w:szCs w:val="20"/>
        </w:rPr>
        <w:t xml:space="preserve">Proposal </w:t>
      </w:r>
      <w:r>
        <w:rPr>
          <w:rFonts w:hint="eastAsia" w:ascii="Times New Roman" w:hAnsi="Times New Roman" w:eastAsia="宋体"/>
          <w:b/>
          <w:bCs/>
          <w:i/>
          <w:sz w:val="20"/>
          <w:szCs w:val="20"/>
        </w:rPr>
        <w:t>3</w:t>
      </w:r>
      <w:r>
        <w:rPr>
          <w:rFonts w:ascii="Times New Roman" w:hAnsi="Times New Roman" w:eastAsia="Batang"/>
          <w:i/>
          <w:sz w:val="20"/>
          <w:szCs w:val="20"/>
        </w:rPr>
        <w:t xml:space="preserve">: </w:t>
      </w:r>
      <w:r>
        <w:rPr>
          <w:rFonts w:ascii="Times New Roman" w:hAnsi="Times New Roman" w:eastAsia="宋体"/>
          <w:i/>
          <w:sz w:val="20"/>
          <w:szCs w:val="20"/>
        </w:rPr>
        <w:t xml:space="preserve">For beam information provided by LMF </w:t>
      </w:r>
      <w:r>
        <w:rPr>
          <w:rFonts w:hint="eastAsia" w:ascii="Times New Roman" w:hAnsi="Times New Roman" w:eastAsia="宋体"/>
          <w:i/>
          <w:sz w:val="20"/>
          <w:szCs w:val="20"/>
        </w:rPr>
        <w:t>for UE based DL-AOD, the r</w:t>
      </w:r>
      <w:r>
        <w:rPr>
          <w:rFonts w:ascii="Times New Roman" w:hAnsi="Times New Roman" w:eastAsia="Batang"/>
          <w:i/>
          <w:sz w:val="20"/>
          <w:szCs w:val="20"/>
          <w:lang w:eastAsia="ko-KR"/>
        </w:rPr>
        <w:t xml:space="preserve">ange of angles [θ1,θ2] </w:t>
      </w:r>
      <w:r>
        <w:rPr>
          <w:rFonts w:ascii="Times New Roman" w:hAnsi="Times New Roman" w:eastAsia="宋体"/>
          <w:i/>
          <w:sz w:val="20"/>
          <w:szCs w:val="20"/>
        </w:rPr>
        <w:t xml:space="preserve">can be </w:t>
      </w:r>
      <w:r>
        <w:rPr>
          <w:rFonts w:hint="eastAsia" w:ascii="Times New Roman" w:hAnsi="Times New Roman" w:eastAsia="宋体"/>
          <w:i/>
          <w:sz w:val="20"/>
          <w:szCs w:val="20"/>
        </w:rPr>
        <w:t>determined by expected DL-AoD/ZoD value and uncertainty (of the expected DL-AoD/ZoD value).</w:t>
      </w:r>
    </w:p>
    <w:p>
      <w:pPr>
        <w:snapToGrid w:val="0"/>
        <w:spacing w:before="180" w:beforeLines="50" w:after="180" w:afterLines="50" w:line="240" w:lineRule="auto"/>
        <w:jc w:val="both"/>
        <w:rPr>
          <w:rFonts w:ascii="Times" w:hAnsi="Times" w:eastAsia="Batang"/>
          <w:i/>
          <w:sz w:val="20"/>
          <w:szCs w:val="20"/>
        </w:rPr>
      </w:pPr>
      <w:r>
        <w:rPr>
          <w:rFonts w:hint="eastAsia" w:ascii="Times" w:hAnsi="Times" w:eastAsia="Batang"/>
          <w:b/>
          <w:bCs/>
          <w:i/>
          <w:sz w:val="20"/>
          <w:szCs w:val="20"/>
        </w:rPr>
        <w:t xml:space="preserve">Observation </w:t>
      </w:r>
      <w:r>
        <w:rPr>
          <w:rFonts w:hint="eastAsia" w:ascii="Times" w:hAnsi="Times" w:eastAsia="宋体"/>
          <w:b/>
          <w:bCs/>
          <w:i/>
          <w:sz w:val="20"/>
          <w:szCs w:val="20"/>
        </w:rPr>
        <w:t>3</w:t>
      </w:r>
      <w:r>
        <w:rPr>
          <w:rFonts w:hint="eastAsia" w:ascii="Times" w:hAnsi="Times" w:eastAsia="Batang"/>
          <w:i/>
          <w:sz w:val="20"/>
          <w:szCs w:val="20"/>
        </w:rPr>
        <w:t>: According to the DL PRS Rx beam index mechanism defined in Rel-16, LMF would not understand how to interpret the case when two DL PRS-RSRP measurements associated with the same DL PRS Rx beam index are derived from different DL PRS resource sets.</w:t>
      </w:r>
    </w:p>
    <w:p>
      <w:pPr>
        <w:snapToGrid w:val="0"/>
        <w:spacing w:before="180" w:beforeLines="50" w:after="180" w:afterLines="50" w:line="240" w:lineRule="auto"/>
        <w:jc w:val="both"/>
        <w:rPr>
          <w:rFonts w:ascii="Times New Roman" w:hAnsi="Times New Roman"/>
          <w:sz w:val="20"/>
          <w:szCs w:val="20"/>
        </w:rPr>
      </w:pPr>
      <w:r>
        <w:rPr>
          <w:rFonts w:hint="eastAsia" w:ascii="Times" w:hAnsi="Times" w:eastAsia="Batang"/>
          <w:b/>
          <w:bCs/>
          <w:i/>
          <w:sz w:val="20"/>
          <w:szCs w:val="20"/>
        </w:rPr>
        <w:t xml:space="preserve">Proposal </w:t>
      </w:r>
      <w:r>
        <w:rPr>
          <w:rFonts w:hint="eastAsia" w:ascii="Times" w:hAnsi="Times" w:eastAsia="宋体"/>
          <w:b/>
          <w:bCs/>
          <w:i/>
          <w:sz w:val="20"/>
          <w:szCs w:val="20"/>
        </w:rPr>
        <w:t>4</w:t>
      </w:r>
      <w:r>
        <w:rPr>
          <w:rFonts w:hint="eastAsia" w:ascii="Times" w:hAnsi="Times" w:eastAsia="Batang"/>
          <w:i/>
          <w:sz w:val="20"/>
          <w:szCs w:val="20"/>
        </w:rPr>
        <w:t xml:space="preserve">: </w:t>
      </w:r>
      <w:r>
        <w:rPr>
          <w:rFonts w:hint="eastAsia" w:ascii="Times" w:hAnsi="Times" w:eastAsia="宋体"/>
          <w:i/>
          <w:sz w:val="20"/>
          <w:szCs w:val="20"/>
        </w:rPr>
        <w:t>W</w:t>
      </w:r>
      <w:r>
        <w:rPr>
          <w:rFonts w:hint="eastAsia" w:ascii="Times" w:hAnsi="Times" w:eastAsia="Batang"/>
          <w:i/>
          <w:sz w:val="20"/>
          <w:szCs w:val="20"/>
        </w:rPr>
        <w:t xml:space="preserve">hen the UE reports DL PRS-RSRP measurements from DL PRS resource sets associated with the same positioning frequency layer and the same TRP, </w:t>
      </w:r>
      <w:r>
        <w:rPr>
          <w:rFonts w:hint="eastAsia" w:ascii="Times" w:hAnsi="Times" w:eastAsia="宋体"/>
          <w:i/>
          <w:sz w:val="20"/>
          <w:szCs w:val="20"/>
        </w:rPr>
        <w:t xml:space="preserve">the </w:t>
      </w:r>
      <w:r>
        <w:rPr>
          <w:rFonts w:hint="eastAsia" w:ascii="Times" w:hAnsi="Times" w:eastAsia="Batang"/>
          <w:i/>
          <w:sz w:val="20"/>
          <w:szCs w:val="20"/>
        </w:rPr>
        <w:t xml:space="preserve">DL PRS-RSRP measurements associated with the same DL PRS Rx beam index have been performed using the same spatial domain filter for reception. </w:t>
      </w:r>
    </w:p>
    <w:p>
      <w:pPr>
        <w:pStyle w:val="2"/>
        <w:snapToGrid w:val="0"/>
        <w:spacing w:before="180" w:beforeLines="50" w:after="180" w:afterLines="50"/>
        <w:ind w:left="431" w:hanging="431"/>
        <w:rPr>
          <w:sz w:val="28"/>
          <w:lang w:val="en-US"/>
        </w:rPr>
      </w:pPr>
      <w:r>
        <w:rPr>
          <w:sz w:val="28"/>
          <w:lang w:val="en-US"/>
        </w:rPr>
        <w:t>References</w:t>
      </w:r>
    </w:p>
    <w:bookmarkEnd w:id="7"/>
    <w:bookmarkEnd w:id="8"/>
    <w:p>
      <w:pPr>
        <w:pStyle w:val="88"/>
        <w:numPr>
          <w:ilvl w:val="0"/>
          <w:numId w:val="8"/>
        </w:numPr>
        <w:snapToGrid w:val="0"/>
        <w:rPr>
          <w:sz w:val="20"/>
          <w:szCs w:val="20"/>
        </w:rPr>
      </w:pPr>
      <w:r>
        <w:rPr>
          <w:sz w:val="20"/>
          <w:szCs w:val="20"/>
        </w:rPr>
        <w:t>RP-210903</w:t>
      </w:r>
      <w:r>
        <w:rPr>
          <w:rFonts w:hint="eastAsia"/>
          <w:sz w:val="20"/>
          <w:szCs w:val="20"/>
        </w:rPr>
        <w:t xml:space="preserve"> Revised WID on NR Positioning Enhancements, Intel Corporation, CATT</w:t>
      </w:r>
    </w:p>
    <w:p>
      <w:pPr>
        <w:pStyle w:val="88"/>
        <w:numPr>
          <w:ilvl w:val="0"/>
          <w:numId w:val="8"/>
        </w:numPr>
        <w:snapToGrid w:val="0"/>
        <w:rPr>
          <w:sz w:val="20"/>
          <w:szCs w:val="20"/>
        </w:rPr>
      </w:pPr>
      <w:r>
        <w:rPr>
          <w:rFonts w:hint="eastAsia"/>
          <w:sz w:val="20"/>
          <w:szCs w:val="20"/>
        </w:rPr>
        <w:t>Draft Report of 3GPP TSG RAN WG1 #107-e v0.1.0</w:t>
      </w:r>
    </w:p>
    <w:p>
      <w:pPr>
        <w:pStyle w:val="88"/>
        <w:snapToGrid w:val="0"/>
        <w:rPr>
          <w:sz w:val="20"/>
          <w:szCs w:val="20"/>
        </w:rPr>
      </w:pPr>
    </w:p>
    <w:p>
      <w:pPr>
        <w:pStyle w:val="88"/>
        <w:snapToGrid w:val="0"/>
        <w:rPr>
          <w:sz w:val="20"/>
          <w:szCs w:val="20"/>
        </w:rPr>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Gulim">
    <w:altName w:val="Malgun Gothic"/>
    <w:panose1 w:val="020B0600000101010101"/>
    <w:charset w:val="81"/>
    <w:family w:val="roman"/>
    <w:pitch w:val="default"/>
    <w:sig w:usb0="00000000" w:usb1="00000000" w:usb2="00000010" w:usb3="00000000" w:csb0="00080000" w:csb1="00000000"/>
  </w:font>
  <w:font w:name="BatangChe">
    <w:altName w:val="Malgun Gothic"/>
    <w:panose1 w:val="00000000000000000000"/>
    <w:charset w:val="81"/>
    <w:family w:val="modern"/>
    <w:pitch w:val="default"/>
    <w:sig w:usb0="00000000" w:usb1="00000000" w:usb2="00000030" w:usb3="00000000" w:csb0="4008009F" w:csb1="DFD7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2"/>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E2269D"/>
    <w:multiLevelType w:val="singleLevel"/>
    <w:tmpl w:val="D1E2269D"/>
    <w:lvl w:ilvl="0" w:tentative="0">
      <w:start w:val="1"/>
      <w:numFmt w:val="bullet"/>
      <w:lvlText w:val="•"/>
      <w:lvlJc w:val="left"/>
      <w:pPr>
        <w:ind w:left="420" w:hanging="420"/>
      </w:pPr>
      <w:rPr>
        <w:rFonts w:hint="default" w:ascii="BatangChe" w:hAnsi="BatangChe" w:eastAsia="BatangChe" w:cs="BatangChe"/>
      </w:rPr>
    </w:lvl>
  </w:abstractNum>
  <w:abstractNum w:abstractNumId="1">
    <w:nsid w:val="DD93495D"/>
    <w:multiLevelType w:val="singleLevel"/>
    <w:tmpl w:val="DD93495D"/>
    <w:lvl w:ilvl="0" w:tentative="0">
      <w:start w:val="1"/>
      <w:numFmt w:val="decimal"/>
      <w:suff w:val="space"/>
      <w:lvlText w:val="[%1]"/>
      <w:lvlJc w:val="left"/>
    </w:lvl>
  </w:abstractNum>
  <w:abstractNum w:abstractNumId="2">
    <w:nsid w:val="0E4F18D7"/>
    <w:multiLevelType w:val="multilevel"/>
    <w:tmpl w:val="0E4F18D7"/>
    <w:lvl w:ilvl="0" w:tentative="0">
      <w:start w:val="1"/>
      <w:numFmt w:val="bullet"/>
      <w:lvlText w:val=""/>
      <w:lvlJc w:val="left"/>
      <w:pPr>
        <w:ind w:left="775" w:hanging="360"/>
      </w:pPr>
      <w:rPr>
        <w:rFonts w:hint="default" w:ascii="Symbol" w:hAnsi="Symbol"/>
      </w:rPr>
    </w:lvl>
    <w:lvl w:ilvl="1" w:tentative="0">
      <w:start w:val="1"/>
      <w:numFmt w:val="bullet"/>
      <w:lvlText w:val="o"/>
      <w:lvlJc w:val="left"/>
      <w:pPr>
        <w:ind w:left="1495" w:hanging="360"/>
      </w:pPr>
      <w:rPr>
        <w:rFonts w:hint="default" w:ascii="Courier New" w:hAnsi="Courier New" w:cs="Courier New"/>
      </w:rPr>
    </w:lvl>
    <w:lvl w:ilvl="2" w:tentative="0">
      <w:start w:val="1"/>
      <w:numFmt w:val="bullet"/>
      <w:lvlText w:val=""/>
      <w:lvlJc w:val="left"/>
      <w:pPr>
        <w:ind w:left="2215" w:hanging="360"/>
      </w:pPr>
      <w:rPr>
        <w:rFonts w:hint="default" w:ascii="Wingdings" w:hAnsi="Wingdings"/>
      </w:rPr>
    </w:lvl>
    <w:lvl w:ilvl="3" w:tentative="0">
      <w:start w:val="1"/>
      <w:numFmt w:val="bullet"/>
      <w:lvlText w:val=""/>
      <w:lvlJc w:val="left"/>
      <w:pPr>
        <w:ind w:left="2935" w:hanging="360"/>
      </w:pPr>
      <w:rPr>
        <w:rFonts w:hint="default" w:ascii="Symbol" w:hAnsi="Symbol"/>
      </w:rPr>
    </w:lvl>
    <w:lvl w:ilvl="4" w:tentative="0">
      <w:start w:val="1"/>
      <w:numFmt w:val="bullet"/>
      <w:lvlText w:val="o"/>
      <w:lvlJc w:val="left"/>
      <w:pPr>
        <w:ind w:left="3655" w:hanging="360"/>
      </w:pPr>
      <w:rPr>
        <w:rFonts w:hint="default" w:ascii="Courier New" w:hAnsi="Courier New" w:cs="Courier New"/>
      </w:rPr>
    </w:lvl>
    <w:lvl w:ilvl="5" w:tentative="0">
      <w:start w:val="1"/>
      <w:numFmt w:val="bullet"/>
      <w:lvlText w:val=""/>
      <w:lvlJc w:val="left"/>
      <w:pPr>
        <w:ind w:left="4375" w:hanging="360"/>
      </w:pPr>
      <w:rPr>
        <w:rFonts w:hint="default" w:ascii="Wingdings" w:hAnsi="Wingdings"/>
      </w:rPr>
    </w:lvl>
    <w:lvl w:ilvl="6" w:tentative="0">
      <w:start w:val="1"/>
      <w:numFmt w:val="bullet"/>
      <w:lvlText w:val=""/>
      <w:lvlJc w:val="left"/>
      <w:pPr>
        <w:ind w:left="5095" w:hanging="360"/>
      </w:pPr>
      <w:rPr>
        <w:rFonts w:hint="default" w:ascii="Symbol" w:hAnsi="Symbol"/>
      </w:rPr>
    </w:lvl>
    <w:lvl w:ilvl="7" w:tentative="0">
      <w:start w:val="1"/>
      <w:numFmt w:val="bullet"/>
      <w:lvlText w:val="o"/>
      <w:lvlJc w:val="left"/>
      <w:pPr>
        <w:ind w:left="5815" w:hanging="360"/>
      </w:pPr>
      <w:rPr>
        <w:rFonts w:hint="default" w:ascii="Courier New" w:hAnsi="Courier New" w:cs="Courier New"/>
      </w:rPr>
    </w:lvl>
    <w:lvl w:ilvl="8" w:tentative="0">
      <w:start w:val="1"/>
      <w:numFmt w:val="bullet"/>
      <w:lvlText w:val=""/>
      <w:lvlJc w:val="left"/>
      <w:pPr>
        <w:ind w:left="6535" w:hanging="360"/>
      </w:pPr>
      <w:rPr>
        <w:rFonts w:hint="default" w:ascii="Wingdings" w:hAnsi="Wingdings"/>
      </w:rPr>
    </w:lvl>
  </w:abstractNum>
  <w:abstractNum w:abstractNumId="3">
    <w:nsid w:val="1DCA0304"/>
    <w:multiLevelType w:val="multilevel"/>
    <w:tmpl w:val="1DCA0304"/>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b/>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257E02D7"/>
    <w:multiLevelType w:val="multilevel"/>
    <w:tmpl w:val="257E02D7"/>
    <w:lvl w:ilvl="0" w:tentative="0">
      <w:start w:val="1"/>
      <w:numFmt w:val="bullet"/>
      <w:lvlText w:val=""/>
      <w:lvlJc w:val="left"/>
      <w:pPr>
        <w:ind w:left="1025" w:hanging="360"/>
      </w:pPr>
      <w:rPr>
        <w:rFonts w:hint="default" w:ascii="Symbol" w:hAnsi="Symbol"/>
      </w:rPr>
    </w:lvl>
    <w:lvl w:ilvl="1" w:tentative="0">
      <w:start w:val="1"/>
      <w:numFmt w:val="bullet"/>
      <w:lvlText w:val="o"/>
      <w:lvlJc w:val="left"/>
      <w:pPr>
        <w:ind w:left="1745" w:hanging="360"/>
      </w:pPr>
      <w:rPr>
        <w:rFonts w:hint="default" w:ascii="Courier New" w:hAnsi="Courier New" w:cs="Courier New"/>
      </w:rPr>
    </w:lvl>
    <w:lvl w:ilvl="2" w:tentative="0">
      <w:start w:val="1"/>
      <w:numFmt w:val="bullet"/>
      <w:lvlText w:val=""/>
      <w:lvlJc w:val="left"/>
      <w:pPr>
        <w:ind w:left="2465" w:hanging="360"/>
      </w:pPr>
      <w:rPr>
        <w:rFonts w:hint="default" w:ascii="Wingdings" w:hAnsi="Wingdings"/>
      </w:rPr>
    </w:lvl>
    <w:lvl w:ilvl="3" w:tentative="0">
      <w:start w:val="1"/>
      <w:numFmt w:val="bullet"/>
      <w:lvlText w:val=""/>
      <w:lvlJc w:val="left"/>
      <w:pPr>
        <w:ind w:left="3185" w:hanging="360"/>
      </w:pPr>
      <w:rPr>
        <w:rFonts w:hint="default" w:ascii="Symbol" w:hAnsi="Symbol"/>
      </w:rPr>
    </w:lvl>
    <w:lvl w:ilvl="4" w:tentative="0">
      <w:start w:val="1"/>
      <w:numFmt w:val="bullet"/>
      <w:lvlText w:val="o"/>
      <w:lvlJc w:val="left"/>
      <w:pPr>
        <w:ind w:left="3905" w:hanging="360"/>
      </w:pPr>
      <w:rPr>
        <w:rFonts w:hint="default" w:ascii="Courier New" w:hAnsi="Courier New" w:cs="Courier New"/>
      </w:rPr>
    </w:lvl>
    <w:lvl w:ilvl="5" w:tentative="0">
      <w:start w:val="1"/>
      <w:numFmt w:val="bullet"/>
      <w:lvlText w:val=""/>
      <w:lvlJc w:val="left"/>
      <w:pPr>
        <w:ind w:left="4625" w:hanging="360"/>
      </w:pPr>
      <w:rPr>
        <w:rFonts w:hint="default" w:ascii="Wingdings" w:hAnsi="Wingdings"/>
      </w:rPr>
    </w:lvl>
    <w:lvl w:ilvl="6" w:tentative="0">
      <w:start w:val="1"/>
      <w:numFmt w:val="bullet"/>
      <w:lvlText w:val=""/>
      <w:lvlJc w:val="left"/>
      <w:pPr>
        <w:ind w:left="5345" w:hanging="360"/>
      </w:pPr>
      <w:rPr>
        <w:rFonts w:hint="default" w:ascii="Symbol" w:hAnsi="Symbol"/>
      </w:rPr>
    </w:lvl>
    <w:lvl w:ilvl="7" w:tentative="0">
      <w:start w:val="1"/>
      <w:numFmt w:val="bullet"/>
      <w:lvlText w:val="o"/>
      <w:lvlJc w:val="left"/>
      <w:pPr>
        <w:ind w:left="6065" w:hanging="360"/>
      </w:pPr>
      <w:rPr>
        <w:rFonts w:hint="default" w:ascii="Courier New" w:hAnsi="Courier New" w:cs="Courier New"/>
      </w:rPr>
    </w:lvl>
    <w:lvl w:ilvl="8" w:tentative="0">
      <w:start w:val="1"/>
      <w:numFmt w:val="bullet"/>
      <w:lvlText w:val=""/>
      <w:lvlJc w:val="left"/>
      <w:pPr>
        <w:ind w:left="6785" w:hanging="360"/>
      </w:pPr>
      <w:rPr>
        <w:rFonts w:hint="default" w:ascii="Wingdings" w:hAnsi="Wingdings"/>
      </w:rPr>
    </w:lvl>
  </w:abstractNum>
  <w:abstractNum w:abstractNumId="5">
    <w:nsid w:val="33197C77"/>
    <w:multiLevelType w:val="multilevel"/>
    <w:tmpl w:val="33197C77"/>
    <w:lvl w:ilvl="0" w:tentative="0">
      <w:start w:val="1"/>
      <w:numFmt w:val="bullet"/>
      <w:pStyle w:val="10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3EE228D7"/>
    <w:multiLevelType w:val="multilevel"/>
    <w:tmpl w:val="3EE228D7"/>
    <w:lvl w:ilvl="0" w:tentative="0">
      <w:start w:val="1"/>
      <w:numFmt w:val="bullet"/>
      <w:lvlText w:val=""/>
      <w:lvlJc w:val="left"/>
      <w:pPr>
        <w:ind w:left="927" w:hanging="360"/>
      </w:pPr>
      <w:rPr>
        <w:rFonts w:hint="default" w:ascii="Symbol" w:hAnsi="Symbol" w:cs="Symbol"/>
      </w:rPr>
    </w:lvl>
    <w:lvl w:ilvl="1" w:tentative="0">
      <w:start w:val="1"/>
      <w:numFmt w:val="bullet"/>
      <w:lvlText w:val="o"/>
      <w:lvlJc w:val="left"/>
      <w:pPr>
        <w:ind w:left="567" w:hanging="360"/>
      </w:pPr>
      <w:rPr>
        <w:rFonts w:hint="default" w:ascii="Courier New" w:hAnsi="Courier New" w:cs="Courier New"/>
      </w:rPr>
    </w:lvl>
    <w:lvl w:ilvl="2" w:tentative="0">
      <w:start w:val="1"/>
      <w:numFmt w:val="bullet"/>
      <w:lvlText w:val=""/>
      <w:lvlJc w:val="left"/>
      <w:pPr>
        <w:ind w:left="1287" w:hanging="360"/>
      </w:pPr>
      <w:rPr>
        <w:rFonts w:hint="default" w:ascii="Wingdings" w:hAnsi="Wingdings" w:cs="Wingdings"/>
      </w:rPr>
    </w:lvl>
    <w:lvl w:ilvl="3" w:tentative="0">
      <w:start w:val="1"/>
      <w:numFmt w:val="bullet"/>
      <w:lvlText w:val=""/>
      <w:lvlJc w:val="left"/>
      <w:pPr>
        <w:ind w:left="2007" w:hanging="360"/>
      </w:pPr>
      <w:rPr>
        <w:rFonts w:hint="default" w:ascii="Symbol" w:hAnsi="Symbol" w:cs="Symbol"/>
      </w:rPr>
    </w:lvl>
    <w:lvl w:ilvl="4" w:tentative="0">
      <w:start w:val="1"/>
      <w:numFmt w:val="bullet"/>
      <w:lvlText w:val="o"/>
      <w:lvlJc w:val="left"/>
      <w:pPr>
        <w:ind w:left="2727" w:hanging="360"/>
      </w:pPr>
      <w:rPr>
        <w:rFonts w:hint="default" w:ascii="Courier New" w:hAnsi="Courier New" w:cs="Courier New"/>
      </w:rPr>
    </w:lvl>
    <w:lvl w:ilvl="5" w:tentative="0">
      <w:start w:val="1"/>
      <w:numFmt w:val="bullet"/>
      <w:lvlText w:val=""/>
      <w:lvlJc w:val="left"/>
      <w:pPr>
        <w:ind w:left="3447" w:hanging="360"/>
      </w:pPr>
      <w:rPr>
        <w:rFonts w:hint="default" w:ascii="Wingdings" w:hAnsi="Wingdings" w:cs="Wingdings"/>
      </w:rPr>
    </w:lvl>
    <w:lvl w:ilvl="6" w:tentative="0">
      <w:start w:val="1"/>
      <w:numFmt w:val="bullet"/>
      <w:lvlText w:val=""/>
      <w:lvlJc w:val="left"/>
      <w:pPr>
        <w:ind w:left="4167" w:hanging="360"/>
      </w:pPr>
      <w:rPr>
        <w:rFonts w:hint="default" w:ascii="Symbol" w:hAnsi="Symbol" w:cs="Symbol"/>
      </w:rPr>
    </w:lvl>
    <w:lvl w:ilvl="7" w:tentative="0">
      <w:start w:val="1"/>
      <w:numFmt w:val="bullet"/>
      <w:lvlText w:val="o"/>
      <w:lvlJc w:val="left"/>
      <w:pPr>
        <w:ind w:left="4887" w:hanging="360"/>
      </w:pPr>
      <w:rPr>
        <w:rFonts w:hint="default" w:ascii="Courier New" w:hAnsi="Courier New" w:cs="Courier New"/>
      </w:rPr>
    </w:lvl>
    <w:lvl w:ilvl="8" w:tentative="0">
      <w:start w:val="1"/>
      <w:numFmt w:val="bullet"/>
      <w:lvlText w:val=""/>
      <w:lvlJc w:val="left"/>
      <w:pPr>
        <w:ind w:left="5607" w:hanging="360"/>
      </w:pPr>
      <w:rPr>
        <w:rFonts w:hint="default" w:ascii="Wingdings" w:hAnsi="Wingdings" w:cs="Wingdings"/>
      </w:rPr>
    </w:lvl>
  </w:abstractNum>
  <w:abstractNum w:abstractNumId="7">
    <w:nsid w:val="5BA076D4"/>
    <w:multiLevelType w:val="multilevel"/>
    <w:tmpl w:val="5BA076D4"/>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7"/>
  </w:num>
  <w:num w:numId="2">
    <w:abstractNumId w:val="5"/>
  </w:num>
  <w:num w:numId="3">
    <w:abstractNumId w:val="0"/>
  </w:num>
  <w:num w:numId="4">
    <w:abstractNumId w:val="3"/>
  </w:num>
  <w:num w:numId="5">
    <w:abstractNumId w:val="4"/>
  </w:num>
  <w:num w:numId="6">
    <w:abstractNumId w:val="2"/>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677"/>
    <w:rsid w:val="00005AF1"/>
    <w:rsid w:val="00005C22"/>
    <w:rsid w:val="00006138"/>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0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B44"/>
    <w:rsid w:val="00022B97"/>
    <w:rsid w:val="00022C10"/>
    <w:rsid w:val="00022E7C"/>
    <w:rsid w:val="00023019"/>
    <w:rsid w:val="000230B7"/>
    <w:rsid w:val="0002328F"/>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7E2"/>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A1"/>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1D90"/>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6AB"/>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BC3"/>
    <w:rsid w:val="00077E7E"/>
    <w:rsid w:val="00080124"/>
    <w:rsid w:val="000802FA"/>
    <w:rsid w:val="000804FD"/>
    <w:rsid w:val="000806BB"/>
    <w:rsid w:val="0008072C"/>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28E"/>
    <w:rsid w:val="00090408"/>
    <w:rsid w:val="000907F4"/>
    <w:rsid w:val="0009098A"/>
    <w:rsid w:val="00090A6A"/>
    <w:rsid w:val="00091243"/>
    <w:rsid w:val="00091473"/>
    <w:rsid w:val="0009150C"/>
    <w:rsid w:val="00091643"/>
    <w:rsid w:val="000916EF"/>
    <w:rsid w:val="00091AB1"/>
    <w:rsid w:val="00091B56"/>
    <w:rsid w:val="00091B58"/>
    <w:rsid w:val="00091CE9"/>
    <w:rsid w:val="00091CFC"/>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D21"/>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291"/>
    <w:rsid w:val="000E1319"/>
    <w:rsid w:val="000E1911"/>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77B"/>
    <w:rsid w:val="00106F20"/>
    <w:rsid w:val="00107175"/>
    <w:rsid w:val="00107183"/>
    <w:rsid w:val="001071DF"/>
    <w:rsid w:val="00107362"/>
    <w:rsid w:val="00107BCF"/>
    <w:rsid w:val="00107BE0"/>
    <w:rsid w:val="00110103"/>
    <w:rsid w:val="001102E6"/>
    <w:rsid w:val="00110631"/>
    <w:rsid w:val="00110925"/>
    <w:rsid w:val="00110E7D"/>
    <w:rsid w:val="00110F23"/>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95C"/>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0F1"/>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396B"/>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2DAE"/>
    <w:rsid w:val="00173095"/>
    <w:rsid w:val="00173748"/>
    <w:rsid w:val="00173779"/>
    <w:rsid w:val="0017388B"/>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3A52"/>
    <w:rsid w:val="00194813"/>
    <w:rsid w:val="00194D22"/>
    <w:rsid w:val="00194F70"/>
    <w:rsid w:val="0019508B"/>
    <w:rsid w:val="001954D0"/>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9B"/>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254"/>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B19"/>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5C4B"/>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4E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08A"/>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4F8"/>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7E3"/>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A0"/>
    <w:rsid w:val="00292CFA"/>
    <w:rsid w:val="00292D55"/>
    <w:rsid w:val="00292D7C"/>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4D9"/>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0F76"/>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7CF"/>
    <w:rsid w:val="002D5B14"/>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E72"/>
    <w:rsid w:val="002E72D1"/>
    <w:rsid w:val="002E733D"/>
    <w:rsid w:val="002E79FA"/>
    <w:rsid w:val="002E7C10"/>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870"/>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799"/>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93A"/>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B08"/>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9FF"/>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1B"/>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ADE"/>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D7A42"/>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50"/>
    <w:rsid w:val="003E588A"/>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380"/>
    <w:rsid w:val="003F34F9"/>
    <w:rsid w:val="003F380B"/>
    <w:rsid w:val="003F3839"/>
    <w:rsid w:val="003F3881"/>
    <w:rsid w:val="003F38E5"/>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DA0"/>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A5E"/>
    <w:rsid w:val="00431DB5"/>
    <w:rsid w:val="00431EDD"/>
    <w:rsid w:val="00432133"/>
    <w:rsid w:val="00432360"/>
    <w:rsid w:val="00432692"/>
    <w:rsid w:val="004329F5"/>
    <w:rsid w:val="00432A24"/>
    <w:rsid w:val="00432E00"/>
    <w:rsid w:val="00433276"/>
    <w:rsid w:val="004335EC"/>
    <w:rsid w:val="00433796"/>
    <w:rsid w:val="00433909"/>
    <w:rsid w:val="00433A6A"/>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63"/>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D1D"/>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2F0F"/>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93"/>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96A"/>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88B"/>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BF2"/>
    <w:rsid w:val="004D3E8A"/>
    <w:rsid w:val="004D3E8D"/>
    <w:rsid w:val="004D3F29"/>
    <w:rsid w:val="004D40E4"/>
    <w:rsid w:val="004D4459"/>
    <w:rsid w:val="004D476D"/>
    <w:rsid w:val="004D47C6"/>
    <w:rsid w:val="004D4946"/>
    <w:rsid w:val="004D506D"/>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15"/>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79C"/>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5F6"/>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3E2F"/>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9ED"/>
    <w:rsid w:val="00525C0B"/>
    <w:rsid w:val="005265AA"/>
    <w:rsid w:val="005265BE"/>
    <w:rsid w:val="00526ADF"/>
    <w:rsid w:val="00526C75"/>
    <w:rsid w:val="00526D21"/>
    <w:rsid w:val="00526D3E"/>
    <w:rsid w:val="00526EC5"/>
    <w:rsid w:val="00526F20"/>
    <w:rsid w:val="005271CF"/>
    <w:rsid w:val="00527391"/>
    <w:rsid w:val="005273B7"/>
    <w:rsid w:val="00527593"/>
    <w:rsid w:val="00527933"/>
    <w:rsid w:val="005279F6"/>
    <w:rsid w:val="00527A5C"/>
    <w:rsid w:val="00527ADA"/>
    <w:rsid w:val="00527EF8"/>
    <w:rsid w:val="00527F1A"/>
    <w:rsid w:val="00527FC5"/>
    <w:rsid w:val="00530086"/>
    <w:rsid w:val="0053032D"/>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15"/>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816"/>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1F"/>
    <w:rsid w:val="00553A23"/>
    <w:rsid w:val="00553A6E"/>
    <w:rsid w:val="005545BB"/>
    <w:rsid w:val="0055473E"/>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D7C"/>
    <w:rsid w:val="00593E74"/>
    <w:rsid w:val="00593F4C"/>
    <w:rsid w:val="00593F9B"/>
    <w:rsid w:val="00593FA4"/>
    <w:rsid w:val="00594011"/>
    <w:rsid w:val="0059432F"/>
    <w:rsid w:val="0059456A"/>
    <w:rsid w:val="0059468D"/>
    <w:rsid w:val="00594729"/>
    <w:rsid w:val="005947E5"/>
    <w:rsid w:val="00594894"/>
    <w:rsid w:val="005948E5"/>
    <w:rsid w:val="005948EA"/>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5E23"/>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08B"/>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070"/>
    <w:rsid w:val="005C3484"/>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9B4"/>
    <w:rsid w:val="005F0DE3"/>
    <w:rsid w:val="005F0EA8"/>
    <w:rsid w:val="005F0ED2"/>
    <w:rsid w:val="005F0F67"/>
    <w:rsid w:val="005F0FDC"/>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8C"/>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0B4"/>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002"/>
    <w:rsid w:val="00663309"/>
    <w:rsid w:val="0066340C"/>
    <w:rsid w:val="00663655"/>
    <w:rsid w:val="0066369F"/>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162"/>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E75"/>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679"/>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E05"/>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617"/>
    <w:rsid w:val="006C5808"/>
    <w:rsid w:val="006C583E"/>
    <w:rsid w:val="006C5A7E"/>
    <w:rsid w:val="006C65C5"/>
    <w:rsid w:val="006C685F"/>
    <w:rsid w:val="006C6B12"/>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A7E"/>
    <w:rsid w:val="006E1A97"/>
    <w:rsid w:val="006E1B2F"/>
    <w:rsid w:val="006E1B45"/>
    <w:rsid w:val="006E1BAD"/>
    <w:rsid w:val="006E1F71"/>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3B3"/>
    <w:rsid w:val="006E452C"/>
    <w:rsid w:val="006E4CC3"/>
    <w:rsid w:val="006E4D5B"/>
    <w:rsid w:val="006E50BC"/>
    <w:rsid w:val="006E50F8"/>
    <w:rsid w:val="006E5101"/>
    <w:rsid w:val="006E5437"/>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0E8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8BF"/>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097"/>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7"/>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17"/>
    <w:rsid w:val="00720128"/>
    <w:rsid w:val="007202A3"/>
    <w:rsid w:val="0072064A"/>
    <w:rsid w:val="007208AB"/>
    <w:rsid w:val="00720C60"/>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3E"/>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04"/>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1B3"/>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1AA"/>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1FB"/>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015"/>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ABD"/>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CA"/>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24D"/>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2EF"/>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241"/>
    <w:rsid w:val="00803819"/>
    <w:rsid w:val="00803B1C"/>
    <w:rsid w:val="00803EA0"/>
    <w:rsid w:val="00803FE6"/>
    <w:rsid w:val="00804CE3"/>
    <w:rsid w:val="0080509C"/>
    <w:rsid w:val="008051EF"/>
    <w:rsid w:val="008053A8"/>
    <w:rsid w:val="0080552E"/>
    <w:rsid w:val="008056E0"/>
    <w:rsid w:val="00805742"/>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2C8"/>
    <w:rsid w:val="008213F8"/>
    <w:rsid w:val="0082171B"/>
    <w:rsid w:val="0082171E"/>
    <w:rsid w:val="00821843"/>
    <w:rsid w:val="00821A46"/>
    <w:rsid w:val="00821BA4"/>
    <w:rsid w:val="00821CD1"/>
    <w:rsid w:val="00822166"/>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5393"/>
    <w:rsid w:val="008353BD"/>
    <w:rsid w:val="0083545E"/>
    <w:rsid w:val="00835815"/>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315"/>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C9"/>
    <w:rsid w:val="008511E6"/>
    <w:rsid w:val="00851301"/>
    <w:rsid w:val="008515B3"/>
    <w:rsid w:val="008515EC"/>
    <w:rsid w:val="008520CF"/>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14F"/>
    <w:rsid w:val="0086438C"/>
    <w:rsid w:val="00864451"/>
    <w:rsid w:val="00864469"/>
    <w:rsid w:val="00864643"/>
    <w:rsid w:val="00864750"/>
    <w:rsid w:val="008648A9"/>
    <w:rsid w:val="008648AA"/>
    <w:rsid w:val="008648E1"/>
    <w:rsid w:val="00864A7D"/>
    <w:rsid w:val="00864BB0"/>
    <w:rsid w:val="00864CB7"/>
    <w:rsid w:val="00864CF3"/>
    <w:rsid w:val="00864E83"/>
    <w:rsid w:val="00864ED7"/>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732"/>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2F69"/>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795"/>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AA3"/>
    <w:rsid w:val="008B5BE6"/>
    <w:rsid w:val="008B5C49"/>
    <w:rsid w:val="008B5CB8"/>
    <w:rsid w:val="008B5EA6"/>
    <w:rsid w:val="008B61D8"/>
    <w:rsid w:val="008B6751"/>
    <w:rsid w:val="008B6ABA"/>
    <w:rsid w:val="008B6E36"/>
    <w:rsid w:val="008B6EA1"/>
    <w:rsid w:val="008B6F05"/>
    <w:rsid w:val="008B6FD3"/>
    <w:rsid w:val="008B71B1"/>
    <w:rsid w:val="008B7523"/>
    <w:rsid w:val="008B775D"/>
    <w:rsid w:val="008B77C8"/>
    <w:rsid w:val="008B782C"/>
    <w:rsid w:val="008B78F4"/>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BD9"/>
    <w:rsid w:val="008D6D83"/>
    <w:rsid w:val="008D6DB1"/>
    <w:rsid w:val="008D6EEE"/>
    <w:rsid w:val="008D6FDF"/>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AB4"/>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6A6"/>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6E30"/>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0DA4"/>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E43"/>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6C3C"/>
    <w:rsid w:val="0094704D"/>
    <w:rsid w:val="0094718E"/>
    <w:rsid w:val="00947209"/>
    <w:rsid w:val="009477F0"/>
    <w:rsid w:val="00947AA6"/>
    <w:rsid w:val="00947F1D"/>
    <w:rsid w:val="00947F4F"/>
    <w:rsid w:val="00950289"/>
    <w:rsid w:val="00950376"/>
    <w:rsid w:val="00950389"/>
    <w:rsid w:val="0095039A"/>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98F"/>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87D20"/>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936"/>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488"/>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118"/>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3EBE"/>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A02"/>
    <w:rsid w:val="009B7C80"/>
    <w:rsid w:val="009B7ED5"/>
    <w:rsid w:val="009B7FB9"/>
    <w:rsid w:val="009C0056"/>
    <w:rsid w:val="009C0254"/>
    <w:rsid w:val="009C04A7"/>
    <w:rsid w:val="009C0800"/>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6"/>
    <w:rsid w:val="009C3AEA"/>
    <w:rsid w:val="009C3B8E"/>
    <w:rsid w:val="009C3CE7"/>
    <w:rsid w:val="009C4091"/>
    <w:rsid w:val="009C4200"/>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D7DA7"/>
    <w:rsid w:val="009E01FF"/>
    <w:rsid w:val="009E03EA"/>
    <w:rsid w:val="009E067B"/>
    <w:rsid w:val="009E0CCC"/>
    <w:rsid w:val="009E0E34"/>
    <w:rsid w:val="009E1027"/>
    <w:rsid w:val="009E1295"/>
    <w:rsid w:val="009E1908"/>
    <w:rsid w:val="009E1B7A"/>
    <w:rsid w:val="009E1B85"/>
    <w:rsid w:val="009E2AF5"/>
    <w:rsid w:val="009E2B7A"/>
    <w:rsid w:val="009E2E20"/>
    <w:rsid w:val="009E304E"/>
    <w:rsid w:val="009E3151"/>
    <w:rsid w:val="009E3590"/>
    <w:rsid w:val="009E36BC"/>
    <w:rsid w:val="009E3BFB"/>
    <w:rsid w:val="009E3E5E"/>
    <w:rsid w:val="009E45EA"/>
    <w:rsid w:val="009E47CE"/>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7FE"/>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955"/>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6A1"/>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42F"/>
    <w:rsid w:val="00A45795"/>
    <w:rsid w:val="00A45A5F"/>
    <w:rsid w:val="00A45C54"/>
    <w:rsid w:val="00A46023"/>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83"/>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762"/>
    <w:rsid w:val="00A63F06"/>
    <w:rsid w:val="00A642CC"/>
    <w:rsid w:val="00A64395"/>
    <w:rsid w:val="00A64550"/>
    <w:rsid w:val="00A645B0"/>
    <w:rsid w:val="00A645C4"/>
    <w:rsid w:val="00A6467B"/>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7FF"/>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53D"/>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4B"/>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8F8"/>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9E"/>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42"/>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08"/>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91"/>
    <w:rsid w:val="00B313E6"/>
    <w:rsid w:val="00B31747"/>
    <w:rsid w:val="00B31C8B"/>
    <w:rsid w:val="00B31CDC"/>
    <w:rsid w:val="00B32605"/>
    <w:rsid w:val="00B32655"/>
    <w:rsid w:val="00B3293D"/>
    <w:rsid w:val="00B32ABD"/>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EC7"/>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66"/>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2CF"/>
    <w:rsid w:val="00B74394"/>
    <w:rsid w:val="00B743B0"/>
    <w:rsid w:val="00B7498F"/>
    <w:rsid w:val="00B74B83"/>
    <w:rsid w:val="00B74D58"/>
    <w:rsid w:val="00B74D77"/>
    <w:rsid w:val="00B750C7"/>
    <w:rsid w:val="00B7519C"/>
    <w:rsid w:val="00B751F9"/>
    <w:rsid w:val="00B759BD"/>
    <w:rsid w:val="00B75C59"/>
    <w:rsid w:val="00B75F41"/>
    <w:rsid w:val="00B760B6"/>
    <w:rsid w:val="00B76301"/>
    <w:rsid w:val="00B765DF"/>
    <w:rsid w:val="00B76840"/>
    <w:rsid w:val="00B76DAB"/>
    <w:rsid w:val="00B76DBC"/>
    <w:rsid w:val="00B76DC9"/>
    <w:rsid w:val="00B76DE4"/>
    <w:rsid w:val="00B76E25"/>
    <w:rsid w:val="00B770DC"/>
    <w:rsid w:val="00B77217"/>
    <w:rsid w:val="00B77234"/>
    <w:rsid w:val="00B77470"/>
    <w:rsid w:val="00B77493"/>
    <w:rsid w:val="00B77797"/>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1ADE"/>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C4B"/>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1AA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289"/>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22"/>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DDB"/>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FB6"/>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CC5"/>
    <w:rsid w:val="00C07DD8"/>
    <w:rsid w:val="00C1060A"/>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943"/>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385"/>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4CF"/>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113"/>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4F30"/>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4A2"/>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2935"/>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7C1"/>
    <w:rsid w:val="00C758E3"/>
    <w:rsid w:val="00C75AC6"/>
    <w:rsid w:val="00C75BF7"/>
    <w:rsid w:val="00C75F0A"/>
    <w:rsid w:val="00C760B3"/>
    <w:rsid w:val="00C763E5"/>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97FE5"/>
    <w:rsid w:val="00CA0099"/>
    <w:rsid w:val="00CA030B"/>
    <w:rsid w:val="00CA046A"/>
    <w:rsid w:val="00CA09BA"/>
    <w:rsid w:val="00CA0B28"/>
    <w:rsid w:val="00CA0B6E"/>
    <w:rsid w:val="00CA0BEA"/>
    <w:rsid w:val="00CA0C72"/>
    <w:rsid w:val="00CA0F70"/>
    <w:rsid w:val="00CA13D4"/>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872"/>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4"/>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0C0"/>
    <w:rsid w:val="00D0743E"/>
    <w:rsid w:val="00D0754D"/>
    <w:rsid w:val="00D077C7"/>
    <w:rsid w:val="00D07941"/>
    <w:rsid w:val="00D07D47"/>
    <w:rsid w:val="00D07F46"/>
    <w:rsid w:val="00D1017C"/>
    <w:rsid w:val="00D1030C"/>
    <w:rsid w:val="00D1050C"/>
    <w:rsid w:val="00D10619"/>
    <w:rsid w:val="00D10D96"/>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A9A"/>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515"/>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D72"/>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20C"/>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D4"/>
    <w:rsid w:val="00D931FC"/>
    <w:rsid w:val="00D932CA"/>
    <w:rsid w:val="00D932D1"/>
    <w:rsid w:val="00D933F0"/>
    <w:rsid w:val="00D9350F"/>
    <w:rsid w:val="00D937DD"/>
    <w:rsid w:val="00D938DC"/>
    <w:rsid w:val="00D93B05"/>
    <w:rsid w:val="00D93B7C"/>
    <w:rsid w:val="00D93F18"/>
    <w:rsid w:val="00D9400A"/>
    <w:rsid w:val="00D945E6"/>
    <w:rsid w:val="00D94AA2"/>
    <w:rsid w:val="00D9513B"/>
    <w:rsid w:val="00D95487"/>
    <w:rsid w:val="00D95675"/>
    <w:rsid w:val="00D95C43"/>
    <w:rsid w:val="00D96119"/>
    <w:rsid w:val="00D963B1"/>
    <w:rsid w:val="00D96509"/>
    <w:rsid w:val="00D9697E"/>
    <w:rsid w:val="00D96F96"/>
    <w:rsid w:val="00D974FE"/>
    <w:rsid w:val="00D97896"/>
    <w:rsid w:val="00D97A1A"/>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223"/>
    <w:rsid w:val="00DA24EF"/>
    <w:rsid w:val="00DA27AD"/>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6F24"/>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A77"/>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71"/>
    <w:rsid w:val="00E04E48"/>
    <w:rsid w:val="00E055D1"/>
    <w:rsid w:val="00E055D8"/>
    <w:rsid w:val="00E05A08"/>
    <w:rsid w:val="00E05DDE"/>
    <w:rsid w:val="00E06175"/>
    <w:rsid w:val="00E062FE"/>
    <w:rsid w:val="00E0637C"/>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D0B"/>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BF8"/>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7F6"/>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CCC"/>
    <w:rsid w:val="00E53F04"/>
    <w:rsid w:val="00E541BF"/>
    <w:rsid w:val="00E541E6"/>
    <w:rsid w:val="00E54300"/>
    <w:rsid w:val="00E54390"/>
    <w:rsid w:val="00E549FC"/>
    <w:rsid w:val="00E54AB3"/>
    <w:rsid w:val="00E54C2D"/>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257"/>
    <w:rsid w:val="00E57654"/>
    <w:rsid w:val="00E5797A"/>
    <w:rsid w:val="00E57A8F"/>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0EA"/>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8C8"/>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691"/>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BAB"/>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C85"/>
    <w:rsid w:val="00EA2F85"/>
    <w:rsid w:val="00EA3110"/>
    <w:rsid w:val="00EA319D"/>
    <w:rsid w:val="00EA3261"/>
    <w:rsid w:val="00EA33A6"/>
    <w:rsid w:val="00EA37D7"/>
    <w:rsid w:val="00EA3F07"/>
    <w:rsid w:val="00EA3F21"/>
    <w:rsid w:val="00EA4242"/>
    <w:rsid w:val="00EA4249"/>
    <w:rsid w:val="00EA44A3"/>
    <w:rsid w:val="00EA44DA"/>
    <w:rsid w:val="00EA4647"/>
    <w:rsid w:val="00EA5056"/>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3AD"/>
    <w:rsid w:val="00EE0542"/>
    <w:rsid w:val="00EE06F5"/>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60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0E26"/>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088"/>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5F20"/>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4B8"/>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39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456"/>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4EB0"/>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4E7"/>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BDC"/>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30E"/>
    <w:rsid w:val="00F944BD"/>
    <w:rsid w:val="00F944D0"/>
    <w:rsid w:val="00F946A4"/>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4DA"/>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357"/>
    <w:rsid w:val="00FA739C"/>
    <w:rsid w:val="00FA7463"/>
    <w:rsid w:val="00FA7BB4"/>
    <w:rsid w:val="00FA7C68"/>
    <w:rsid w:val="00FA7CC5"/>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18F"/>
    <w:rsid w:val="00FB530A"/>
    <w:rsid w:val="00FB53C8"/>
    <w:rsid w:val="00FB53D1"/>
    <w:rsid w:val="00FB552C"/>
    <w:rsid w:val="00FB55F9"/>
    <w:rsid w:val="00FB59AB"/>
    <w:rsid w:val="00FB5D05"/>
    <w:rsid w:val="00FB6116"/>
    <w:rsid w:val="00FB6489"/>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4D5"/>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767"/>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674"/>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627"/>
    <w:rsid w:val="00FE1704"/>
    <w:rsid w:val="00FE1894"/>
    <w:rsid w:val="00FE18C3"/>
    <w:rsid w:val="00FE1C57"/>
    <w:rsid w:val="00FE1FCB"/>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D3C"/>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2A5"/>
    <w:rsid w:val="00FF1403"/>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1D597B"/>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5439"/>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2511C"/>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76A76"/>
    <w:rsid w:val="024B3DD6"/>
    <w:rsid w:val="024D3362"/>
    <w:rsid w:val="024E7879"/>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2F1DDC"/>
    <w:rsid w:val="03334938"/>
    <w:rsid w:val="0333596C"/>
    <w:rsid w:val="0337023B"/>
    <w:rsid w:val="033912FE"/>
    <w:rsid w:val="03394321"/>
    <w:rsid w:val="033A0108"/>
    <w:rsid w:val="03406AD4"/>
    <w:rsid w:val="03434A2C"/>
    <w:rsid w:val="0346496D"/>
    <w:rsid w:val="034938C7"/>
    <w:rsid w:val="034B5597"/>
    <w:rsid w:val="034C7F6A"/>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DE35F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86DDA"/>
    <w:rsid w:val="044935AB"/>
    <w:rsid w:val="044A1114"/>
    <w:rsid w:val="044A5026"/>
    <w:rsid w:val="044B15E2"/>
    <w:rsid w:val="044C008C"/>
    <w:rsid w:val="04526600"/>
    <w:rsid w:val="04552E83"/>
    <w:rsid w:val="04580ED4"/>
    <w:rsid w:val="04591ACE"/>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4E7EB7"/>
    <w:rsid w:val="05511679"/>
    <w:rsid w:val="05516AAD"/>
    <w:rsid w:val="05520B1B"/>
    <w:rsid w:val="0554794C"/>
    <w:rsid w:val="05553DD0"/>
    <w:rsid w:val="05554DD8"/>
    <w:rsid w:val="05572874"/>
    <w:rsid w:val="05580B32"/>
    <w:rsid w:val="05583F7B"/>
    <w:rsid w:val="055B0206"/>
    <w:rsid w:val="0561255E"/>
    <w:rsid w:val="05651971"/>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53C9E"/>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A6D74"/>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655A7"/>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6E22FD"/>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AF03C5"/>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1C05F4"/>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883560"/>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ED344A"/>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13860"/>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A321A"/>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222BD"/>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643AF"/>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15456"/>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BE1A35"/>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8E0AB2"/>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B429C"/>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87DF6"/>
    <w:rsid w:val="0F7D5DFD"/>
    <w:rsid w:val="0F8012E7"/>
    <w:rsid w:val="0F8116C6"/>
    <w:rsid w:val="0F8B45C8"/>
    <w:rsid w:val="0F8B4E90"/>
    <w:rsid w:val="0F8D3CC2"/>
    <w:rsid w:val="0F9228AC"/>
    <w:rsid w:val="0F927670"/>
    <w:rsid w:val="0F936B57"/>
    <w:rsid w:val="0F97083F"/>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2520C"/>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0F5535F"/>
    <w:rsid w:val="11032AF5"/>
    <w:rsid w:val="110A5B61"/>
    <w:rsid w:val="11101151"/>
    <w:rsid w:val="11121ABB"/>
    <w:rsid w:val="1112714C"/>
    <w:rsid w:val="11130EB6"/>
    <w:rsid w:val="11144B23"/>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46133"/>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94436"/>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B47232"/>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34F87"/>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CC34DF"/>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76FC9"/>
    <w:rsid w:val="151D2BFF"/>
    <w:rsid w:val="151E65DD"/>
    <w:rsid w:val="151F6DBF"/>
    <w:rsid w:val="1521576A"/>
    <w:rsid w:val="15231E2E"/>
    <w:rsid w:val="15262908"/>
    <w:rsid w:val="1529226A"/>
    <w:rsid w:val="152F620B"/>
    <w:rsid w:val="15387A07"/>
    <w:rsid w:val="153A5FE7"/>
    <w:rsid w:val="153C1F3A"/>
    <w:rsid w:val="153D0A90"/>
    <w:rsid w:val="153D638E"/>
    <w:rsid w:val="153E4B6C"/>
    <w:rsid w:val="15413E16"/>
    <w:rsid w:val="15424AED"/>
    <w:rsid w:val="15446B31"/>
    <w:rsid w:val="15494BB0"/>
    <w:rsid w:val="154A5317"/>
    <w:rsid w:val="154D3BE2"/>
    <w:rsid w:val="154E3E39"/>
    <w:rsid w:val="15536F18"/>
    <w:rsid w:val="155D4772"/>
    <w:rsid w:val="1560174E"/>
    <w:rsid w:val="156103E7"/>
    <w:rsid w:val="15635D03"/>
    <w:rsid w:val="15667B43"/>
    <w:rsid w:val="156947EE"/>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3185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2B3472"/>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5DA9"/>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D7E07"/>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A1BBD"/>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067F"/>
    <w:rsid w:val="1895157E"/>
    <w:rsid w:val="18984EF5"/>
    <w:rsid w:val="18A518FF"/>
    <w:rsid w:val="18A56117"/>
    <w:rsid w:val="18A574B1"/>
    <w:rsid w:val="18AF5D72"/>
    <w:rsid w:val="18B10CFB"/>
    <w:rsid w:val="18B50D7D"/>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DE7F07"/>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51DC0"/>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16AEE"/>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47B1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1D5A0D"/>
    <w:rsid w:val="1B203FFD"/>
    <w:rsid w:val="1B204CAA"/>
    <w:rsid w:val="1B265FC9"/>
    <w:rsid w:val="1B277C6B"/>
    <w:rsid w:val="1B3A63E1"/>
    <w:rsid w:val="1B3A6551"/>
    <w:rsid w:val="1B3D6F5D"/>
    <w:rsid w:val="1B3F232C"/>
    <w:rsid w:val="1B40035E"/>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372DB"/>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420FF"/>
    <w:rsid w:val="1C4863EB"/>
    <w:rsid w:val="1C4A4C0A"/>
    <w:rsid w:val="1C4E6DE1"/>
    <w:rsid w:val="1C5124C4"/>
    <w:rsid w:val="1C525D8A"/>
    <w:rsid w:val="1C553AF0"/>
    <w:rsid w:val="1C55783B"/>
    <w:rsid w:val="1C606999"/>
    <w:rsid w:val="1C6479C6"/>
    <w:rsid w:val="1C650DE0"/>
    <w:rsid w:val="1C65681C"/>
    <w:rsid w:val="1C6611FF"/>
    <w:rsid w:val="1C667A4D"/>
    <w:rsid w:val="1C70753C"/>
    <w:rsid w:val="1C733A6E"/>
    <w:rsid w:val="1C743557"/>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07BE9"/>
    <w:rsid w:val="1CE11948"/>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46C28"/>
    <w:rsid w:val="1DB80A24"/>
    <w:rsid w:val="1DBA16E3"/>
    <w:rsid w:val="1DBC193E"/>
    <w:rsid w:val="1DBF1E64"/>
    <w:rsid w:val="1DC1491C"/>
    <w:rsid w:val="1DC555FD"/>
    <w:rsid w:val="1DC60F0D"/>
    <w:rsid w:val="1DCC31D5"/>
    <w:rsid w:val="1DD16DAA"/>
    <w:rsid w:val="1DD33028"/>
    <w:rsid w:val="1DD60645"/>
    <w:rsid w:val="1DD95E1B"/>
    <w:rsid w:val="1DDF4E46"/>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6D2170"/>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377FC"/>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4274"/>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01CE6"/>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91B96"/>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2DEE"/>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0003C"/>
    <w:rsid w:val="228808E1"/>
    <w:rsid w:val="22882272"/>
    <w:rsid w:val="228F635F"/>
    <w:rsid w:val="228F7972"/>
    <w:rsid w:val="229F2244"/>
    <w:rsid w:val="229F4C12"/>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D4958"/>
    <w:rsid w:val="22EF3AA1"/>
    <w:rsid w:val="22F0339E"/>
    <w:rsid w:val="22F260B3"/>
    <w:rsid w:val="22F773B9"/>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632466"/>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675B"/>
    <w:rsid w:val="23DC78BC"/>
    <w:rsid w:val="23E64F34"/>
    <w:rsid w:val="23E75469"/>
    <w:rsid w:val="23E9433B"/>
    <w:rsid w:val="23EC2899"/>
    <w:rsid w:val="23ED2BCC"/>
    <w:rsid w:val="23EE1A0B"/>
    <w:rsid w:val="23EE32CE"/>
    <w:rsid w:val="23F22BF1"/>
    <w:rsid w:val="23F33C73"/>
    <w:rsid w:val="23F650B1"/>
    <w:rsid w:val="240050CB"/>
    <w:rsid w:val="24060D25"/>
    <w:rsid w:val="24074036"/>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4B3DFC"/>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1E8C"/>
    <w:rsid w:val="24962F88"/>
    <w:rsid w:val="24965CCD"/>
    <w:rsid w:val="24975BE5"/>
    <w:rsid w:val="24991F99"/>
    <w:rsid w:val="24992F68"/>
    <w:rsid w:val="249D6F0E"/>
    <w:rsid w:val="249F4CC6"/>
    <w:rsid w:val="24A03D43"/>
    <w:rsid w:val="24A40035"/>
    <w:rsid w:val="24A77B3C"/>
    <w:rsid w:val="24AA79EF"/>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D0C41"/>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52034"/>
    <w:rsid w:val="25692DFE"/>
    <w:rsid w:val="256B4DA9"/>
    <w:rsid w:val="256D6BF2"/>
    <w:rsid w:val="257745C3"/>
    <w:rsid w:val="257779B7"/>
    <w:rsid w:val="257803EE"/>
    <w:rsid w:val="257D18E3"/>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815FD"/>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7E70E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5968"/>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9500E"/>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0EAF"/>
    <w:rsid w:val="27B153F8"/>
    <w:rsid w:val="27B47525"/>
    <w:rsid w:val="27B6320F"/>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EF6E77"/>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A5E63"/>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87366"/>
    <w:rsid w:val="2949574D"/>
    <w:rsid w:val="294C3727"/>
    <w:rsid w:val="294F67CF"/>
    <w:rsid w:val="295072ED"/>
    <w:rsid w:val="29516A9C"/>
    <w:rsid w:val="2952282B"/>
    <w:rsid w:val="295336B3"/>
    <w:rsid w:val="295439EA"/>
    <w:rsid w:val="295643D9"/>
    <w:rsid w:val="29577D0C"/>
    <w:rsid w:val="29583C31"/>
    <w:rsid w:val="295C041A"/>
    <w:rsid w:val="295C3CBC"/>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18A7"/>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2138DB"/>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D7087"/>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DD1175"/>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9730E"/>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1648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3E71F9"/>
    <w:rsid w:val="2E4A731A"/>
    <w:rsid w:val="2E5024D8"/>
    <w:rsid w:val="2E5C4F9B"/>
    <w:rsid w:val="2E605AE6"/>
    <w:rsid w:val="2E643BF9"/>
    <w:rsid w:val="2E660A34"/>
    <w:rsid w:val="2E664AD8"/>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B2DDD"/>
    <w:rsid w:val="2ECD0C40"/>
    <w:rsid w:val="2ECF267B"/>
    <w:rsid w:val="2ED26976"/>
    <w:rsid w:val="2ED60271"/>
    <w:rsid w:val="2EDC722F"/>
    <w:rsid w:val="2EDF7E4B"/>
    <w:rsid w:val="2EE04937"/>
    <w:rsid w:val="2EE0645B"/>
    <w:rsid w:val="2EE4485A"/>
    <w:rsid w:val="2EE52A03"/>
    <w:rsid w:val="2EE72F28"/>
    <w:rsid w:val="2EE813DE"/>
    <w:rsid w:val="2EEB1791"/>
    <w:rsid w:val="2EEB7D77"/>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8C3CF4"/>
    <w:rsid w:val="2F940AA3"/>
    <w:rsid w:val="2F9A4E99"/>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50DA2"/>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B70A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6549F"/>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95FCA"/>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E4FF9"/>
    <w:rsid w:val="322F4A9A"/>
    <w:rsid w:val="32312593"/>
    <w:rsid w:val="32315610"/>
    <w:rsid w:val="323159FD"/>
    <w:rsid w:val="32345AB7"/>
    <w:rsid w:val="323716E7"/>
    <w:rsid w:val="324068E4"/>
    <w:rsid w:val="324252A3"/>
    <w:rsid w:val="324378F4"/>
    <w:rsid w:val="32484AB1"/>
    <w:rsid w:val="32496576"/>
    <w:rsid w:val="324A0310"/>
    <w:rsid w:val="324C6902"/>
    <w:rsid w:val="324E7571"/>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C1D70"/>
    <w:rsid w:val="336E4ED6"/>
    <w:rsid w:val="33716B56"/>
    <w:rsid w:val="3373347A"/>
    <w:rsid w:val="33742DCE"/>
    <w:rsid w:val="33771FDC"/>
    <w:rsid w:val="337D52E9"/>
    <w:rsid w:val="3380076E"/>
    <w:rsid w:val="33842139"/>
    <w:rsid w:val="338738B9"/>
    <w:rsid w:val="338A315D"/>
    <w:rsid w:val="339170EF"/>
    <w:rsid w:val="33967FE7"/>
    <w:rsid w:val="33975AE0"/>
    <w:rsid w:val="339805C3"/>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B5630"/>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44534"/>
    <w:rsid w:val="34D46CF3"/>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081D2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D4A99"/>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21E80"/>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CE5873"/>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166DC"/>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721A3"/>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571D8"/>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92A34"/>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42465"/>
    <w:rsid w:val="3BCA4456"/>
    <w:rsid w:val="3BCC5A8F"/>
    <w:rsid w:val="3BD33379"/>
    <w:rsid w:val="3BD60116"/>
    <w:rsid w:val="3BD80F8D"/>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15EA9"/>
    <w:rsid w:val="3C734003"/>
    <w:rsid w:val="3C735075"/>
    <w:rsid w:val="3C762034"/>
    <w:rsid w:val="3C77244A"/>
    <w:rsid w:val="3C783F6C"/>
    <w:rsid w:val="3C79610A"/>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B6434"/>
    <w:rsid w:val="3D7E0416"/>
    <w:rsid w:val="3D806AC3"/>
    <w:rsid w:val="3D837D75"/>
    <w:rsid w:val="3D8438BD"/>
    <w:rsid w:val="3D8517F9"/>
    <w:rsid w:val="3D8B02DF"/>
    <w:rsid w:val="3D965F28"/>
    <w:rsid w:val="3D9A1CA4"/>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D1E67"/>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62BEE"/>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03D64"/>
    <w:rsid w:val="41153493"/>
    <w:rsid w:val="411557D9"/>
    <w:rsid w:val="41156A94"/>
    <w:rsid w:val="411706B0"/>
    <w:rsid w:val="41175358"/>
    <w:rsid w:val="411811D5"/>
    <w:rsid w:val="41197446"/>
    <w:rsid w:val="411E324B"/>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363D8"/>
    <w:rsid w:val="41A4134F"/>
    <w:rsid w:val="41AE7032"/>
    <w:rsid w:val="41AF65DD"/>
    <w:rsid w:val="41B10164"/>
    <w:rsid w:val="41B4102B"/>
    <w:rsid w:val="41BB0F01"/>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5507F"/>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392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3FF7D20"/>
    <w:rsid w:val="44031028"/>
    <w:rsid w:val="4406238A"/>
    <w:rsid w:val="440A5B01"/>
    <w:rsid w:val="440F71F0"/>
    <w:rsid w:val="441003F3"/>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1AE5"/>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9E4059"/>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B25B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4C21"/>
    <w:rsid w:val="460A71DA"/>
    <w:rsid w:val="460B5599"/>
    <w:rsid w:val="460C052B"/>
    <w:rsid w:val="46126101"/>
    <w:rsid w:val="46174DB8"/>
    <w:rsid w:val="461C257D"/>
    <w:rsid w:val="461E583A"/>
    <w:rsid w:val="46212468"/>
    <w:rsid w:val="46283117"/>
    <w:rsid w:val="46290F3D"/>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1D2DE2"/>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41E22"/>
    <w:rsid w:val="47A62310"/>
    <w:rsid w:val="47AA41FD"/>
    <w:rsid w:val="47AC7C90"/>
    <w:rsid w:val="47AE368F"/>
    <w:rsid w:val="47AE3E9C"/>
    <w:rsid w:val="47BD7E3A"/>
    <w:rsid w:val="47C77300"/>
    <w:rsid w:val="47D03D38"/>
    <w:rsid w:val="47D72108"/>
    <w:rsid w:val="47D735E8"/>
    <w:rsid w:val="47D73DD3"/>
    <w:rsid w:val="47D754ED"/>
    <w:rsid w:val="47D968A0"/>
    <w:rsid w:val="47DB10FF"/>
    <w:rsid w:val="47DC0A82"/>
    <w:rsid w:val="47DC5693"/>
    <w:rsid w:val="47E05908"/>
    <w:rsid w:val="47E108C4"/>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82F86"/>
    <w:rsid w:val="485B7A09"/>
    <w:rsid w:val="48601F1B"/>
    <w:rsid w:val="4860234E"/>
    <w:rsid w:val="48615B6E"/>
    <w:rsid w:val="48635DDB"/>
    <w:rsid w:val="486457B8"/>
    <w:rsid w:val="486C2522"/>
    <w:rsid w:val="486F23BB"/>
    <w:rsid w:val="486F725D"/>
    <w:rsid w:val="4872228E"/>
    <w:rsid w:val="4872727C"/>
    <w:rsid w:val="48727E06"/>
    <w:rsid w:val="48761D32"/>
    <w:rsid w:val="48880174"/>
    <w:rsid w:val="488811AB"/>
    <w:rsid w:val="488F67AB"/>
    <w:rsid w:val="48915121"/>
    <w:rsid w:val="48946E42"/>
    <w:rsid w:val="48963808"/>
    <w:rsid w:val="48983085"/>
    <w:rsid w:val="489A2DBE"/>
    <w:rsid w:val="489C2B70"/>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3B7C"/>
    <w:rsid w:val="496A58C4"/>
    <w:rsid w:val="496B472D"/>
    <w:rsid w:val="496F6C3C"/>
    <w:rsid w:val="49704B16"/>
    <w:rsid w:val="49733329"/>
    <w:rsid w:val="497C4012"/>
    <w:rsid w:val="49801BB7"/>
    <w:rsid w:val="49806636"/>
    <w:rsid w:val="4981265D"/>
    <w:rsid w:val="49822362"/>
    <w:rsid w:val="49831A30"/>
    <w:rsid w:val="498450C2"/>
    <w:rsid w:val="498574FA"/>
    <w:rsid w:val="49870CB8"/>
    <w:rsid w:val="49871D7B"/>
    <w:rsid w:val="4988097A"/>
    <w:rsid w:val="498A1EB9"/>
    <w:rsid w:val="498E7D73"/>
    <w:rsid w:val="499123DA"/>
    <w:rsid w:val="499531E3"/>
    <w:rsid w:val="49980BE7"/>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A7A2F"/>
    <w:rsid w:val="4A1C1D25"/>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254D4"/>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065FD"/>
    <w:rsid w:val="4B811257"/>
    <w:rsid w:val="4B816D3B"/>
    <w:rsid w:val="4B821B36"/>
    <w:rsid w:val="4B827CCC"/>
    <w:rsid w:val="4B83233B"/>
    <w:rsid w:val="4B8A674C"/>
    <w:rsid w:val="4B8F2EB1"/>
    <w:rsid w:val="4B924EC9"/>
    <w:rsid w:val="4B9419F7"/>
    <w:rsid w:val="4B9470E1"/>
    <w:rsid w:val="4B985B74"/>
    <w:rsid w:val="4B9B0CFC"/>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32616"/>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A3CC2"/>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1786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032A3"/>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C33BC"/>
    <w:rsid w:val="4E7D1F26"/>
    <w:rsid w:val="4E7F10F7"/>
    <w:rsid w:val="4E833A1C"/>
    <w:rsid w:val="4E8447FB"/>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B4222"/>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3C6CD1"/>
    <w:rsid w:val="4F40472E"/>
    <w:rsid w:val="4F4078EF"/>
    <w:rsid w:val="4F415CBA"/>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90DAE"/>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A5D44"/>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03E6B"/>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34481"/>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1361C"/>
    <w:rsid w:val="55927D1F"/>
    <w:rsid w:val="55985654"/>
    <w:rsid w:val="559A4FD6"/>
    <w:rsid w:val="559A5BFB"/>
    <w:rsid w:val="55A35F7F"/>
    <w:rsid w:val="55A83C17"/>
    <w:rsid w:val="55A86FBD"/>
    <w:rsid w:val="55B353EE"/>
    <w:rsid w:val="55B85ACE"/>
    <w:rsid w:val="55B952E9"/>
    <w:rsid w:val="55BE6A5B"/>
    <w:rsid w:val="55BF0B8E"/>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C18BF"/>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87D83"/>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C67FA4"/>
    <w:rsid w:val="56D418EA"/>
    <w:rsid w:val="56D43345"/>
    <w:rsid w:val="56D570ED"/>
    <w:rsid w:val="56E358E7"/>
    <w:rsid w:val="56E365E9"/>
    <w:rsid w:val="56E73DD6"/>
    <w:rsid w:val="56EA585F"/>
    <w:rsid w:val="56EB338E"/>
    <w:rsid w:val="56EB4412"/>
    <w:rsid w:val="56F24EA1"/>
    <w:rsid w:val="56F418BC"/>
    <w:rsid w:val="56F9705F"/>
    <w:rsid w:val="56FA3E0A"/>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4A0DC6"/>
    <w:rsid w:val="575163DC"/>
    <w:rsid w:val="57564B03"/>
    <w:rsid w:val="57570D48"/>
    <w:rsid w:val="57570EC4"/>
    <w:rsid w:val="57576764"/>
    <w:rsid w:val="57592024"/>
    <w:rsid w:val="57592D20"/>
    <w:rsid w:val="575D1406"/>
    <w:rsid w:val="575D7DC0"/>
    <w:rsid w:val="575F724B"/>
    <w:rsid w:val="57646591"/>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56F22"/>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6A643C"/>
    <w:rsid w:val="5872241A"/>
    <w:rsid w:val="58744E3C"/>
    <w:rsid w:val="587527DD"/>
    <w:rsid w:val="58762E4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0B65"/>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46A29"/>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63786"/>
    <w:rsid w:val="5BFF68A2"/>
    <w:rsid w:val="5C010EEF"/>
    <w:rsid w:val="5C062C85"/>
    <w:rsid w:val="5C063270"/>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8F0EE3"/>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D0DAB"/>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82249"/>
    <w:rsid w:val="5E090D92"/>
    <w:rsid w:val="5E0C6185"/>
    <w:rsid w:val="5E0F1114"/>
    <w:rsid w:val="5E0F732F"/>
    <w:rsid w:val="5E104F57"/>
    <w:rsid w:val="5E111886"/>
    <w:rsid w:val="5E134CA1"/>
    <w:rsid w:val="5E146038"/>
    <w:rsid w:val="5E177072"/>
    <w:rsid w:val="5E1F05CB"/>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5C4"/>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6E"/>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9399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65990"/>
    <w:rsid w:val="5FBD61BC"/>
    <w:rsid w:val="5FBF330D"/>
    <w:rsid w:val="5FC01756"/>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A3A0B"/>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82529"/>
    <w:rsid w:val="60494BE8"/>
    <w:rsid w:val="604B0953"/>
    <w:rsid w:val="605E0EE5"/>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AF575B"/>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2DAC"/>
    <w:rsid w:val="60D640BA"/>
    <w:rsid w:val="60D86405"/>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100A5"/>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3A9B"/>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0518B"/>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52D90"/>
    <w:rsid w:val="64A74331"/>
    <w:rsid w:val="64AB6B0F"/>
    <w:rsid w:val="64AE0ED1"/>
    <w:rsid w:val="64AE4EA4"/>
    <w:rsid w:val="64B333E7"/>
    <w:rsid w:val="64B70560"/>
    <w:rsid w:val="64B7365E"/>
    <w:rsid w:val="64B81726"/>
    <w:rsid w:val="64B931F8"/>
    <w:rsid w:val="64BA2907"/>
    <w:rsid w:val="64BD76A0"/>
    <w:rsid w:val="64BE7826"/>
    <w:rsid w:val="64C32A6F"/>
    <w:rsid w:val="64C635B7"/>
    <w:rsid w:val="64C70EC1"/>
    <w:rsid w:val="64C91401"/>
    <w:rsid w:val="64CB4B69"/>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372B4"/>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BE6030"/>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394290"/>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A5694"/>
    <w:rsid w:val="67AF3C4A"/>
    <w:rsid w:val="67B0143C"/>
    <w:rsid w:val="67B101FC"/>
    <w:rsid w:val="67B12426"/>
    <w:rsid w:val="67B270D1"/>
    <w:rsid w:val="67B96427"/>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C7211"/>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6355B"/>
    <w:rsid w:val="690716F0"/>
    <w:rsid w:val="69072F35"/>
    <w:rsid w:val="69075094"/>
    <w:rsid w:val="690916D6"/>
    <w:rsid w:val="69093C6E"/>
    <w:rsid w:val="690B0012"/>
    <w:rsid w:val="690C55C1"/>
    <w:rsid w:val="691146C8"/>
    <w:rsid w:val="69153A94"/>
    <w:rsid w:val="69161875"/>
    <w:rsid w:val="691619F4"/>
    <w:rsid w:val="691C4691"/>
    <w:rsid w:val="69202781"/>
    <w:rsid w:val="692238AD"/>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6333E"/>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5205D"/>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21A4"/>
    <w:rsid w:val="6BDE7A16"/>
    <w:rsid w:val="6BE0639E"/>
    <w:rsid w:val="6BE16DC9"/>
    <w:rsid w:val="6BE444FA"/>
    <w:rsid w:val="6BEC66EE"/>
    <w:rsid w:val="6BF07EAA"/>
    <w:rsid w:val="6BF14A0C"/>
    <w:rsid w:val="6BF20FB8"/>
    <w:rsid w:val="6BF24619"/>
    <w:rsid w:val="6BF24AF7"/>
    <w:rsid w:val="6BF258C3"/>
    <w:rsid w:val="6BF85D43"/>
    <w:rsid w:val="6BFE4BB6"/>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4F16FD"/>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1CF3"/>
    <w:rsid w:val="6CB42DFD"/>
    <w:rsid w:val="6CB458DD"/>
    <w:rsid w:val="6CB53EDD"/>
    <w:rsid w:val="6CB60C69"/>
    <w:rsid w:val="6CBC4148"/>
    <w:rsid w:val="6CC06B2E"/>
    <w:rsid w:val="6CC1067B"/>
    <w:rsid w:val="6CC115B8"/>
    <w:rsid w:val="6CC42698"/>
    <w:rsid w:val="6CC56A9C"/>
    <w:rsid w:val="6CC73C3E"/>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CFF0281"/>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0FA0"/>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36B7"/>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5E4BE2"/>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3526"/>
    <w:rsid w:val="70CA4199"/>
    <w:rsid w:val="70CD0CF0"/>
    <w:rsid w:val="70CD1E07"/>
    <w:rsid w:val="70CD7510"/>
    <w:rsid w:val="70D03AC3"/>
    <w:rsid w:val="70D32EE1"/>
    <w:rsid w:val="70D40276"/>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CF675B"/>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2F3047"/>
    <w:rsid w:val="7430610A"/>
    <w:rsid w:val="743175E8"/>
    <w:rsid w:val="743E46CE"/>
    <w:rsid w:val="74414A8B"/>
    <w:rsid w:val="74475FDB"/>
    <w:rsid w:val="744C7B5C"/>
    <w:rsid w:val="744D1D69"/>
    <w:rsid w:val="744E03F0"/>
    <w:rsid w:val="744E313E"/>
    <w:rsid w:val="74502B4C"/>
    <w:rsid w:val="74507EC5"/>
    <w:rsid w:val="74533EF2"/>
    <w:rsid w:val="74574E09"/>
    <w:rsid w:val="745926DB"/>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2654B"/>
    <w:rsid w:val="74E47420"/>
    <w:rsid w:val="74E763A2"/>
    <w:rsid w:val="74EA3EB2"/>
    <w:rsid w:val="74EA7568"/>
    <w:rsid w:val="74ED3FBE"/>
    <w:rsid w:val="74ED72A9"/>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1D519D"/>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2913"/>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A1C6D"/>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2E45"/>
    <w:rsid w:val="78726AFE"/>
    <w:rsid w:val="787A2B56"/>
    <w:rsid w:val="787B1C5A"/>
    <w:rsid w:val="787B626A"/>
    <w:rsid w:val="787F5E67"/>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2F499D"/>
    <w:rsid w:val="7930162F"/>
    <w:rsid w:val="79312D2A"/>
    <w:rsid w:val="79331259"/>
    <w:rsid w:val="793706B9"/>
    <w:rsid w:val="7938329D"/>
    <w:rsid w:val="793A1AE4"/>
    <w:rsid w:val="793B3A08"/>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386C"/>
    <w:rsid w:val="797D5A8D"/>
    <w:rsid w:val="797E3237"/>
    <w:rsid w:val="798300AD"/>
    <w:rsid w:val="7984595C"/>
    <w:rsid w:val="798547D0"/>
    <w:rsid w:val="798B0BA1"/>
    <w:rsid w:val="798B7ED4"/>
    <w:rsid w:val="799058F1"/>
    <w:rsid w:val="79922980"/>
    <w:rsid w:val="79927ACF"/>
    <w:rsid w:val="799538B1"/>
    <w:rsid w:val="7997453A"/>
    <w:rsid w:val="79976C46"/>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C72A0"/>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81D14"/>
    <w:rsid w:val="7BDA0029"/>
    <w:rsid w:val="7BDA407F"/>
    <w:rsid w:val="7BDB329A"/>
    <w:rsid w:val="7BDB6D18"/>
    <w:rsid w:val="7BDF186B"/>
    <w:rsid w:val="7BDF4097"/>
    <w:rsid w:val="7BDF5802"/>
    <w:rsid w:val="7BE14C50"/>
    <w:rsid w:val="7BE56E02"/>
    <w:rsid w:val="7BEB63BF"/>
    <w:rsid w:val="7BED3301"/>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706FC"/>
    <w:rsid w:val="7C7B1E57"/>
    <w:rsid w:val="7C7C3178"/>
    <w:rsid w:val="7C8505B4"/>
    <w:rsid w:val="7C892B5F"/>
    <w:rsid w:val="7C8B4BD5"/>
    <w:rsid w:val="7C8E642B"/>
    <w:rsid w:val="7C997B87"/>
    <w:rsid w:val="7C9C0531"/>
    <w:rsid w:val="7CA06A8F"/>
    <w:rsid w:val="7CA333EB"/>
    <w:rsid w:val="7CAC1334"/>
    <w:rsid w:val="7CAC385C"/>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24538"/>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8198E"/>
    <w:rsid w:val="7ED91764"/>
    <w:rsid w:val="7ED92D9B"/>
    <w:rsid w:val="7ED9598C"/>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5F9B"/>
    <w:rsid w:val="7F2371D0"/>
    <w:rsid w:val="7F25457C"/>
    <w:rsid w:val="7F27211B"/>
    <w:rsid w:val="7F2B6FB0"/>
    <w:rsid w:val="7F2F17E7"/>
    <w:rsid w:val="7F3C3603"/>
    <w:rsid w:val="7F443395"/>
    <w:rsid w:val="7F533F36"/>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8E06B1"/>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65C86"/>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6"/>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7"/>
    <w:unhideWhenUsed/>
    <w:qFormat/>
    <w:uiPriority w:val="9"/>
    <w:pPr>
      <w:outlineLvl w:val="2"/>
    </w:pPr>
  </w:style>
  <w:style w:type="paragraph" w:styleId="5">
    <w:name w:val="heading 4"/>
    <w:basedOn w:val="4"/>
    <w:next w:val="1"/>
    <w:link w:val="66"/>
    <w:qFormat/>
    <w:uiPriority w:val="0"/>
    <w:pPr>
      <w:overflowPunct w:val="0"/>
      <w:spacing w:after="0" w:line="240" w:lineRule="auto"/>
      <w:textAlignment w:val="baseline"/>
      <w:outlineLvl w:val="3"/>
    </w:pPr>
    <w:rPr>
      <w:rFonts w:ascii="Times New Roman" w:hAnsi="Times New Roman"/>
      <w:sz w:val="28"/>
      <w:szCs w:val="28"/>
      <w:lang w:val="en-GB"/>
    </w:rPr>
  </w:style>
  <w:style w:type="paragraph" w:styleId="6">
    <w:name w:val="heading 5"/>
    <w:basedOn w:val="5"/>
    <w:next w:val="1"/>
    <w:link w:val="67"/>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3"/>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1"/>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2"/>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4"/>
    <w:unhideWhenUsed/>
    <w:qFormat/>
    <w:uiPriority w:val="99"/>
    <w:pPr>
      <w:spacing w:after="120"/>
      <w:ind w:left="360"/>
    </w:pPr>
  </w:style>
  <w:style w:type="paragraph" w:styleId="18">
    <w:name w:val="List 2"/>
    <w:basedOn w:val="1"/>
    <w:unhideWhenUsed/>
    <w:qFormat/>
    <w:uiPriority w:val="99"/>
    <w:pPr>
      <w:ind w:left="100" w:leftChars="200" w:hanging="200" w:hangingChars="200"/>
      <w:contextualSpacing/>
    </w:pPr>
  </w:style>
  <w:style w:type="paragraph" w:styleId="19">
    <w:name w:val="Plain Text"/>
    <w:basedOn w:val="1"/>
    <w:link w:val="60"/>
    <w:unhideWhenUsed/>
    <w:qFormat/>
    <w:uiPriority w:val="99"/>
    <w:pPr>
      <w:spacing w:after="0" w:line="240" w:lineRule="auto"/>
    </w:pPr>
    <w:rPr>
      <w:rFonts w:eastAsia="Calibri"/>
      <w:szCs w:val="21"/>
      <w:lang w:val="en-GB" w:eastAsia="en-US"/>
    </w:rPr>
  </w:style>
  <w:style w:type="paragraph" w:styleId="20">
    <w:name w:val="Date"/>
    <w:basedOn w:val="1"/>
    <w:next w:val="1"/>
    <w:link w:val="54"/>
    <w:unhideWhenUsed/>
    <w:qFormat/>
    <w:uiPriority w:val="99"/>
    <w:pPr>
      <w:ind w:left="100" w:leftChars="2500"/>
    </w:pPr>
  </w:style>
  <w:style w:type="paragraph" w:styleId="21">
    <w:name w:val="Balloon Text"/>
    <w:basedOn w:val="1"/>
    <w:link w:val="40"/>
    <w:unhideWhenUsed/>
    <w:qFormat/>
    <w:uiPriority w:val="99"/>
    <w:pPr>
      <w:spacing w:after="0" w:line="240" w:lineRule="auto"/>
    </w:pPr>
    <w:rPr>
      <w:rFonts w:ascii="Tahoma" w:hAnsi="Tahoma"/>
      <w:sz w:val="16"/>
      <w:szCs w:val="16"/>
    </w:rPr>
  </w:style>
  <w:style w:type="paragraph" w:styleId="22">
    <w:name w:val="footer"/>
    <w:basedOn w:val="1"/>
    <w:link w:val="45"/>
    <w:unhideWhenUsed/>
    <w:qFormat/>
    <w:uiPriority w:val="99"/>
    <w:pPr>
      <w:tabs>
        <w:tab w:val="center" w:pos="4153"/>
        <w:tab w:val="right" w:pos="8306"/>
      </w:tabs>
      <w:snapToGrid w:val="0"/>
      <w:spacing w:line="240" w:lineRule="auto"/>
    </w:pPr>
    <w:rPr>
      <w:sz w:val="18"/>
      <w:szCs w:val="18"/>
    </w:rPr>
  </w:style>
  <w:style w:type="paragraph" w:styleId="23">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4">
    <w:name w:val="List"/>
    <w:basedOn w:val="1"/>
    <w:unhideWhenUsed/>
    <w:qFormat/>
    <w:uiPriority w:val="99"/>
    <w:pPr>
      <w:ind w:left="568" w:hanging="284"/>
    </w:p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basedOn w:val="29"/>
    <w:qFormat/>
    <w:uiPriority w:val="22"/>
    <w:rPr>
      <w:b/>
    </w:rPr>
  </w:style>
  <w:style w:type="character" w:styleId="31">
    <w:name w:val="page number"/>
    <w:basedOn w:val="29"/>
    <w:unhideWhenUsed/>
    <w:qFormat/>
    <w:uiPriority w:val="99"/>
    <w:rPr>
      <w:rFonts w:hint="default"/>
      <w:sz w:val="24"/>
    </w:rPr>
  </w:style>
  <w:style w:type="character" w:styleId="32">
    <w:name w:val="Emphasis"/>
    <w:basedOn w:val="29"/>
    <w:qFormat/>
    <w:uiPriority w:val="20"/>
    <w:rPr>
      <w:i/>
    </w:rPr>
  </w:style>
  <w:style w:type="character" w:styleId="33">
    <w:name w:val="Hyperlink"/>
    <w:unhideWhenUsed/>
    <w:qFormat/>
    <w:uiPriority w:val="99"/>
    <w:rPr>
      <w:color w:val="0000FF"/>
      <w:u w:val="single"/>
    </w:rPr>
  </w:style>
  <w:style w:type="character" w:styleId="34">
    <w:name w:val="annotation reference"/>
    <w:unhideWhenUsed/>
    <w:qFormat/>
    <w:uiPriority w:val="99"/>
    <w:rPr>
      <w:sz w:val="16"/>
      <w:szCs w:val="16"/>
    </w:rPr>
  </w:style>
  <w:style w:type="character" w:customStyle="1" w:styleId="35">
    <w:name w:val="标题 1 Char"/>
    <w:link w:val="2"/>
    <w:qFormat/>
    <w:uiPriority w:val="99"/>
    <w:rPr>
      <w:rFonts w:ascii="Arial" w:hAnsi="Arial" w:eastAsia="黑体"/>
      <w:b/>
      <w:bCs/>
      <w:sz w:val="30"/>
      <w:szCs w:val="30"/>
      <w:lang w:val="zh-CN" w:eastAsia="zh-CN"/>
    </w:rPr>
  </w:style>
  <w:style w:type="character" w:customStyle="1" w:styleId="36">
    <w:name w:val="页眉 Char"/>
    <w:link w:val="23"/>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批注框文本 Char"/>
    <w:link w:val="21"/>
    <w:semiHidden/>
    <w:qFormat/>
    <w:uiPriority w:val="99"/>
    <w:rPr>
      <w:rFonts w:ascii="Tahoma" w:hAnsi="Tahoma" w:cs="Tahoma"/>
      <w:sz w:val="16"/>
      <w:szCs w:val="16"/>
    </w:rPr>
  </w:style>
  <w:style w:type="character" w:customStyle="1" w:styleId="41">
    <w:name w:val="文档结构图 Char"/>
    <w:link w:val="14"/>
    <w:semiHidden/>
    <w:qFormat/>
    <w:uiPriority w:val="99"/>
    <w:rPr>
      <w:rFonts w:ascii="宋体"/>
      <w:sz w:val="18"/>
      <w:szCs w:val="18"/>
    </w:rPr>
  </w:style>
  <w:style w:type="character" w:customStyle="1" w:styleId="42">
    <w:name w:val="正文文本 Char"/>
    <w:link w:val="16"/>
    <w:qFormat/>
    <w:uiPriority w:val="0"/>
    <w:rPr>
      <w:rFonts w:ascii="Times New Roman" w:hAnsi="Times New Roman"/>
      <w:color w:val="0000FF"/>
      <w:kern w:val="2"/>
      <w:sz w:val="21"/>
    </w:rPr>
  </w:style>
  <w:style w:type="character" w:customStyle="1" w:styleId="43">
    <w:name w:val="题注 Char"/>
    <w:link w:val="13"/>
    <w:qFormat/>
    <w:uiPriority w:val="0"/>
    <w:rPr>
      <w:rFonts w:ascii="Times New Roman" w:hAnsi="Times New Roman"/>
      <w:b/>
      <w:bCs/>
      <w:lang w:val="en-GB" w:eastAsia="sv-SE"/>
    </w:rPr>
  </w:style>
  <w:style w:type="paragraph" w:customStyle="1" w:styleId="44">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5">
    <w:name w:val="页脚 Char"/>
    <w:link w:val="22"/>
    <w:qFormat/>
    <w:uiPriority w:val="99"/>
    <w:rPr>
      <w:sz w:val="18"/>
      <w:szCs w:val="18"/>
    </w:rPr>
  </w:style>
  <w:style w:type="character" w:customStyle="1" w:styleId="46">
    <w:name w:val="标题 2 Char"/>
    <w:link w:val="3"/>
    <w:qFormat/>
    <w:uiPriority w:val="0"/>
    <w:rPr>
      <w:rFonts w:ascii="Cambria" w:hAnsi="Cambria"/>
      <w:b/>
      <w:bCs/>
      <w:sz w:val="32"/>
      <w:szCs w:val="32"/>
      <w:lang w:val="en-US" w:eastAsia="zh-CN"/>
    </w:rPr>
  </w:style>
  <w:style w:type="character" w:customStyle="1" w:styleId="47">
    <w:name w:val="标题 3 Char"/>
    <w:link w:val="4"/>
    <w:semiHidden/>
    <w:qFormat/>
    <w:uiPriority w:val="9"/>
    <w:rPr>
      <w:b/>
      <w:bCs/>
      <w:sz w:val="32"/>
      <w:szCs w:val="32"/>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Top of Form1"/>
    <w:basedOn w:val="1"/>
    <w:next w:val="1"/>
    <w:link w:val="5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0">
    <w:name w:val="z-窗体顶端 Char"/>
    <w:link w:val="49"/>
    <w:semiHidden/>
    <w:qFormat/>
    <w:uiPriority w:val="99"/>
    <w:rPr>
      <w:rFonts w:ascii="Arial" w:hAnsi="Arial" w:cs="Arial"/>
      <w:vanish/>
      <w:sz w:val="16"/>
      <w:szCs w:val="16"/>
    </w:rPr>
  </w:style>
  <w:style w:type="character" w:customStyle="1" w:styleId="51">
    <w:name w:val="hps"/>
    <w:basedOn w:val="29"/>
    <w:qFormat/>
    <w:uiPriority w:val="0"/>
  </w:style>
  <w:style w:type="paragraph" w:customStyle="1" w:styleId="52">
    <w:name w:val="z-Bottom of Form1"/>
    <w:basedOn w:val="1"/>
    <w:next w:val="1"/>
    <w:link w:val="53"/>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3">
    <w:name w:val="z-窗体底端 Char"/>
    <w:link w:val="52"/>
    <w:semiHidden/>
    <w:qFormat/>
    <w:uiPriority w:val="99"/>
    <w:rPr>
      <w:rFonts w:ascii="Arial" w:hAnsi="Arial" w:cs="Arial"/>
      <w:vanish/>
      <w:sz w:val="16"/>
      <w:szCs w:val="16"/>
    </w:rPr>
  </w:style>
  <w:style w:type="character" w:customStyle="1" w:styleId="54">
    <w:name w:val="日期 Char"/>
    <w:link w:val="20"/>
    <w:semiHidden/>
    <w:qFormat/>
    <w:uiPriority w:val="99"/>
    <w:rPr>
      <w:sz w:val="22"/>
      <w:szCs w:val="22"/>
    </w:rPr>
  </w:style>
  <w:style w:type="paragraph" w:customStyle="1" w:styleId="55">
    <w:name w:val="List Paragraph1"/>
    <w:basedOn w:val="1"/>
    <w:link w:val="69"/>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6">
    <w:name w:val="Revision1"/>
    <w:hidden/>
    <w:semiHidden/>
    <w:qFormat/>
    <w:uiPriority w:val="99"/>
    <w:rPr>
      <w:rFonts w:ascii="Calibri" w:hAnsi="Calibri" w:cs="Times New Roman" w:eastAsiaTheme="minorEastAsia"/>
      <w:sz w:val="22"/>
      <w:szCs w:val="22"/>
      <w:lang w:val="en-US" w:eastAsia="zh-CN" w:bidi="ar-SA"/>
    </w:rPr>
  </w:style>
  <w:style w:type="paragraph" w:customStyle="1" w:styleId="57">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8">
    <w:name w:val="short_text"/>
    <w:basedOn w:val="29"/>
    <w:qFormat/>
    <w:uiPriority w:val="0"/>
  </w:style>
  <w:style w:type="paragraph" w:customStyle="1" w:styleId="59">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0">
    <w:name w:val="纯文本 Char"/>
    <w:link w:val="19"/>
    <w:qFormat/>
    <w:uiPriority w:val="99"/>
    <w:rPr>
      <w:rFonts w:eastAsia="Calibri"/>
      <w:sz w:val="22"/>
      <w:szCs w:val="21"/>
      <w:lang w:val="en-GB" w:eastAsia="en-US"/>
    </w:rPr>
  </w:style>
  <w:style w:type="paragraph" w:customStyle="1" w:styleId="61">
    <w:name w:val="TAH"/>
    <w:basedOn w:val="62"/>
    <w:link w:val="82"/>
    <w:qFormat/>
    <w:uiPriority w:val="0"/>
    <w:rPr>
      <w:b/>
    </w:rPr>
  </w:style>
  <w:style w:type="paragraph" w:customStyle="1" w:styleId="62">
    <w:name w:val="TAC"/>
    <w:basedOn w:val="63"/>
    <w:qFormat/>
    <w:uiPriority w:val="0"/>
    <w:pPr>
      <w:spacing w:line="240" w:lineRule="auto"/>
      <w:jc w:val="center"/>
    </w:pPr>
    <w:rPr>
      <w:szCs w:val="20"/>
      <w:lang w:val="en-GB" w:eastAsia="en-US"/>
    </w:rPr>
  </w:style>
  <w:style w:type="paragraph" w:customStyle="1" w:styleId="63">
    <w:name w:val="TAL"/>
    <w:basedOn w:val="1"/>
    <w:qFormat/>
    <w:uiPriority w:val="0"/>
    <w:pPr>
      <w:keepNext/>
      <w:keepLines/>
      <w:spacing w:after="0"/>
    </w:pPr>
    <w:rPr>
      <w:rFonts w:ascii="Arial" w:hAnsi="Arial"/>
      <w:sz w:val="18"/>
    </w:rPr>
  </w:style>
  <w:style w:type="paragraph" w:customStyle="1" w:styleId="64">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5">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6">
    <w:name w:val="标题 4 Char"/>
    <w:link w:val="5"/>
    <w:qFormat/>
    <w:uiPriority w:val="0"/>
    <w:rPr>
      <w:rFonts w:ascii="Times New Roman" w:hAnsi="Times New Roman"/>
      <w:b/>
      <w:sz w:val="28"/>
      <w:szCs w:val="28"/>
      <w:lang w:val="en-GB"/>
    </w:rPr>
  </w:style>
  <w:style w:type="character" w:customStyle="1" w:styleId="67">
    <w:name w:val="标题 5 Char"/>
    <w:link w:val="6"/>
    <w:qFormat/>
    <w:uiPriority w:val="0"/>
    <w:rPr>
      <w:rFonts w:ascii="Times New Roman" w:hAnsi="Times New Roman"/>
      <w:b/>
      <w:sz w:val="24"/>
      <w:szCs w:val="24"/>
      <w:lang w:val="en-GB"/>
    </w:rPr>
  </w:style>
  <w:style w:type="character" w:customStyle="1" w:styleId="68">
    <w:name w:val="apple-converted-space"/>
    <w:basedOn w:val="29"/>
    <w:qFormat/>
    <w:uiPriority w:val="0"/>
  </w:style>
  <w:style w:type="character" w:customStyle="1" w:styleId="69">
    <w:name w:val="列出段落 Char"/>
    <w:link w:val="55"/>
    <w:qFormat/>
    <w:locked/>
    <w:uiPriority w:val="34"/>
    <w:rPr>
      <w:rFonts w:ascii="Times New Roman" w:hAnsi="Times New Roman"/>
      <w:kern w:val="2"/>
      <w:sz w:val="21"/>
      <w:szCs w:val="24"/>
    </w:rPr>
  </w:style>
  <w:style w:type="character" w:customStyle="1" w:styleId="70">
    <w:name w:val="keyword"/>
    <w:basedOn w:val="29"/>
    <w:qFormat/>
    <w:uiPriority w:val="0"/>
  </w:style>
  <w:style w:type="paragraph" w:customStyle="1" w:styleId="71">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2">
    <w:name w:val="Doc-text2"/>
    <w:basedOn w:val="1"/>
    <w:link w:val="73"/>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3">
    <w:name w:val="Doc-text2 Char"/>
    <w:link w:val="72"/>
    <w:qFormat/>
    <w:uiPriority w:val="0"/>
    <w:rPr>
      <w:rFonts w:ascii="Arial" w:hAnsi="Arial" w:eastAsia="MS Mincho"/>
      <w:szCs w:val="24"/>
      <w:lang w:val="en-GB" w:eastAsia="en-GB"/>
    </w:rPr>
  </w:style>
  <w:style w:type="character" w:customStyle="1" w:styleId="74">
    <w:name w:val="正文文本缩进 Char"/>
    <w:basedOn w:val="29"/>
    <w:link w:val="17"/>
    <w:semiHidden/>
    <w:qFormat/>
    <w:uiPriority w:val="99"/>
    <w:rPr>
      <w:sz w:val="22"/>
      <w:szCs w:val="22"/>
    </w:rPr>
  </w:style>
  <w:style w:type="paragraph" w:customStyle="1" w:styleId="75">
    <w:name w:val="main text"/>
    <w:basedOn w:val="1"/>
    <w:link w:val="76"/>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6">
    <w:name w:val="main text Char"/>
    <w:link w:val="75"/>
    <w:qFormat/>
    <w:uiPriority w:val="0"/>
    <w:rPr>
      <w:rFonts w:ascii="Times New Roman" w:hAnsi="Times New Roman" w:eastAsia="Malgun Gothic"/>
      <w:lang w:val="en-GB" w:eastAsia="ko-KR"/>
    </w:rPr>
  </w:style>
  <w:style w:type="paragraph" w:customStyle="1" w:styleId="77">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8">
    <w:name w:val="样式 正文缩进d + 首行缩进:  2 字符 段前: 0.35 行"/>
    <w:basedOn w:val="12"/>
    <w:link w:val="79"/>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9">
    <w:name w:val="样式 正文缩进d + 首行缩进:  2 字符 段前: 0.35 行 Char"/>
    <w:link w:val="78"/>
    <w:qFormat/>
    <w:uiPriority w:val="0"/>
    <w:rPr>
      <w:rFonts w:ascii="Times New Roman" w:hAnsi="Times New Roman" w:eastAsia="楷体_GB2312"/>
      <w:snapToGrid w:val="0"/>
      <w:sz w:val="28"/>
    </w:rPr>
  </w:style>
  <w:style w:type="paragraph" w:customStyle="1" w:styleId="80">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1">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2">
    <w:name w:val="TAH Car"/>
    <w:link w:val="61"/>
    <w:qFormat/>
    <w:uiPriority w:val="0"/>
    <w:rPr>
      <w:rFonts w:ascii="Arial" w:hAnsi="Arial"/>
      <w:b/>
      <w:sz w:val="18"/>
      <w:lang w:val="en-GB" w:eastAsia="en-US"/>
    </w:rPr>
  </w:style>
  <w:style w:type="paragraph" w:customStyle="1" w:styleId="83">
    <w:name w:val="_Style 1"/>
    <w:basedOn w:val="1"/>
    <w:qFormat/>
    <w:uiPriority w:val="34"/>
    <w:pPr>
      <w:ind w:left="840" w:leftChars="400"/>
    </w:pPr>
  </w:style>
  <w:style w:type="paragraph" w:customStyle="1" w:styleId="84">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5">
    <w:name w:val="B1"/>
    <w:basedOn w:val="24"/>
    <w:qFormat/>
    <w:uiPriority w:val="0"/>
  </w:style>
  <w:style w:type="paragraph" w:customStyle="1" w:styleId="86">
    <w:name w:val="EQ"/>
    <w:basedOn w:val="1"/>
    <w:next w:val="1"/>
    <w:unhideWhenUsed/>
    <w:qFormat/>
    <w:uiPriority w:val="0"/>
    <w:pPr>
      <w:keepLines/>
      <w:tabs>
        <w:tab w:val="center" w:pos="4536"/>
        <w:tab w:val="right" w:pos="9072"/>
      </w:tabs>
    </w:pPr>
    <w:rPr>
      <w:sz w:val="24"/>
    </w:rPr>
  </w:style>
  <w:style w:type="paragraph" w:customStyle="1" w:styleId="87">
    <w:name w:val="List Paragraph2"/>
    <w:basedOn w:val="1"/>
    <w:qFormat/>
    <w:uiPriority w:val="99"/>
    <w:pPr>
      <w:ind w:firstLine="420" w:firstLineChars="200"/>
    </w:pPr>
  </w:style>
  <w:style w:type="paragraph" w:customStyle="1" w:styleId="88">
    <w:name w:val="No Spacing1"/>
    <w:qFormat/>
    <w:uiPriority w:val="1"/>
    <w:rPr>
      <w:rFonts w:ascii="Times New Roman" w:hAnsi="Times New Roman" w:eastAsia="宋体" w:cs="Times New Roman"/>
      <w:sz w:val="22"/>
      <w:szCs w:val="22"/>
      <w:lang w:val="en-US" w:eastAsia="zh-CN" w:bidi="ar-SA"/>
    </w:rPr>
  </w:style>
  <w:style w:type="paragraph" w:customStyle="1" w:styleId="89">
    <w:name w:val="Comments"/>
    <w:basedOn w:val="1"/>
    <w:qFormat/>
    <w:uiPriority w:val="0"/>
    <w:pPr>
      <w:spacing w:before="40"/>
    </w:pPr>
    <w:rPr>
      <w:rFonts w:ascii="Arial" w:hAnsi="Arial" w:eastAsia="MS Mincho"/>
      <w:i/>
      <w:sz w:val="18"/>
      <w:lang w:eastAsia="en-GB"/>
    </w:rPr>
  </w:style>
  <w:style w:type="paragraph" w:customStyle="1" w:styleId="90">
    <w:name w:val="列出段落2"/>
    <w:basedOn w:val="1"/>
    <w:qFormat/>
    <w:uiPriority w:val="34"/>
    <w:pPr>
      <w:ind w:left="840" w:leftChars="400"/>
    </w:pPr>
  </w:style>
  <w:style w:type="paragraph" w:customStyle="1" w:styleId="9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2">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3">
    <w:name w:val="列出段落3"/>
    <w:basedOn w:val="1"/>
    <w:qFormat/>
    <w:uiPriority w:val="34"/>
    <w:pPr>
      <w:ind w:left="840" w:leftChars="400"/>
    </w:pPr>
  </w:style>
  <w:style w:type="paragraph" w:customStyle="1" w:styleId="94">
    <w:name w:val="列出段落4"/>
    <w:basedOn w:val="1"/>
    <w:qFormat/>
    <w:uiPriority w:val="34"/>
    <w:pPr>
      <w:ind w:left="840" w:leftChars="400"/>
    </w:pPr>
  </w:style>
  <w:style w:type="paragraph" w:customStyle="1" w:styleId="95">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96">
    <w:name w:val="List Paragraph"/>
    <w:basedOn w:val="1"/>
    <w:qFormat/>
    <w:uiPriority w:val="34"/>
    <w:pPr>
      <w:ind w:left="840" w:leftChars="400"/>
    </w:pPr>
  </w:style>
  <w:style w:type="character" w:styleId="97">
    <w:name w:val="Placeholder Text"/>
    <w:basedOn w:val="29"/>
    <w:semiHidden/>
    <w:qFormat/>
    <w:uiPriority w:val="99"/>
    <w:rPr>
      <w:color w:val="808080"/>
    </w:rPr>
  </w:style>
  <w:style w:type="paragraph" w:customStyle="1" w:styleId="98">
    <w:name w:val="a0"/>
    <w:basedOn w:val="1"/>
    <w:qFormat/>
    <w:uiPriority w:val="99"/>
    <w:pPr>
      <w:spacing w:before="100" w:beforeAutospacing="1" w:after="100" w:afterAutospacing="1" w:line="240" w:lineRule="auto"/>
    </w:pPr>
    <w:rPr>
      <w:rFonts w:ascii="宋体" w:hAnsi="宋体" w:eastAsia="宋体" w:cs="Gulim"/>
      <w:sz w:val="24"/>
      <w:szCs w:val="24"/>
      <w:lang w:eastAsia="ko-KR"/>
    </w:rPr>
  </w:style>
  <w:style w:type="character" w:customStyle="1" w:styleId="99">
    <w:name w:val="15"/>
    <w:basedOn w:val="29"/>
    <w:qFormat/>
    <w:uiPriority w:val="0"/>
    <w:rPr>
      <w:rFonts w:hint="default" w:ascii="Times New Roman" w:hAnsi="Times New Roman" w:cs="Times New Roman"/>
    </w:rPr>
  </w:style>
  <w:style w:type="character" w:customStyle="1" w:styleId="100">
    <w:name w:val="10"/>
    <w:basedOn w:val="29"/>
    <w:qFormat/>
    <w:uiPriority w:val="0"/>
    <w:rPr>
      <w:rFonts w:hint="default" w:ascii="Times New Roman" w:hAnsi="Times New Roman" w:cs="Times New Roman"/>
    </w:rPr>
  </w:style>
  <w:style w:type="paragraph" w:customStyle="1" w:styleId="101">
    <w:name w:val="3GPP Agreements"/>
    <w:basedOn w:val="1"/>
    <w:qFormat/>
    <w:uiPriority w:val="0"/>
    <w:pPr>
      <w:numPr>
        <w:ilvl w:val="0"/>
        <w:numId w:val="2"/>
      </w:numPr>
      <w:autoSpaceDE w:val="0"/>
      <w:autoSpaceDN w:val="0"/>
      <w:adjustRightInd w:val="0"/>
      <w:snapToGrid w:val="0"/>
      <w:spacing w:after="120" w:line="259" w:lineRule="auto"/>
      <w:jc w:val="both"/>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73E10D-96DD-45DF-95E8-007E92B9824F}">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5</Pages>
  <Words>2038</Words>
  <Characters>11617</Characters>
  <Lines>96</Lines>
  <Paragraphs>27</Paragraphs>
  <TotalTime>17</TotalTime>
  <ScaleCrop>false</ScaleCrop>
  <LinksUpToDate>false</LinksUpToDate>
  <CharactersWithSpaces>13628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2019-10-04T06:55:00Z</dcterms:created>
  <dc:creator>ZTE</dc:creator>
  <cp:lastModifiedBy>ZTE</cp:lastModifiedBy>
  <dcterms:modified xsi:type="dcterms:W3CDTF">2022-02-14T06:28:44Z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